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7E2E" w:rsidRPr="009513AC" w:rsidRDefault="00B97E2E" w:rsidP="00B97E2E">
      <w:pPr>
        <w:tabs>
          <w:tab w:val="center" w:pos="4536"/>
          <w:tab w:val="right" w:pos="8280"/>
          <w:tab w:val="right" w:pos="9781"/>
        </w:tabs>
        <w:ind w:right="-58"/>
        <w:jc w:val="both"/>
        <w:rPr>
          <w:rFonts w:ascii="Arial" w:eastAsia="MS Mincho" w:hAnsi="Arial" w:cs="Arial"/>
          <w:b/>
          <w:bCs/>
          <w:sz w:val="28"/>
          <w:lang w:eastAsia="ja-JP"/>
        </w:rPr>
      </w:pPr>
      <w:bookmarkStart w:id="0" w:name="_Toc193024528"/>
      <w:r w:rsidRPr="0052548E">
        <w:rPr>
          <w:rFonts w:ascii="Arial" w:hAnsi="Arial" w:cs="Arial"/>
          <w:b/>
          <w:bCs/>
          <w:sz w:val="28"/>
        </w:rPr>
        <w:t xml:space="preserve">3GPP TSG RAN WG1 </w:t>
      </w:r>
      <w:r>
        <w:rPr>
          <w:rFonts w:ascii="Arial" w:hAnsi="Arial" w:cs="Arial"/>
          <w:b/>
          <w:bCs/>
          <w:sz w:val="28"/>
        </w:rPr>
        <w:t>#9</w:t>
      </w:r>
      <w:r w:rsidR="00786E69">
        <w:rPr>
          <w:rFonts w:ascii="Arial" w:hAnsi="Arial" w:cs="Arial"/>
          <w:b/>
          <w:bCs/>
          <w:sz w:val="28"/>
        </w:rPr>
        <w:t>8</w:t>
      </w:r>
      <w:r w:rsidR="00032476">
        <w:rPr>
          <w:rFonts w:ascii="Arial" w:hAnsi="Arial" w:cs="Arial"/>
          <w:b/>
          <w:bCs/>
          <w:sz w:val="28"/>
        </w:rPr>
        <w:t>bis</w:t>
      </w:r>
      <w:r>
        <w:rPr>
          <w:rFonts w:ascii="Arial" w:eastAsia="MS Mincho" w:hAnsi="Arial" w:cs="Arial" w:hint="eastAsia"/>
          <w:b/>
          <w:bCs/>
          <w:sz w:val="28"/>
          <w:lang w:eastAsia="ja-JP"/>
        </w:rPr>
        <w:t xml:space="preserve">       </w:t>
      </w:r>
      <w:r>
        <w:rPr>
          <w:rFonts w:ascii="Arial" w:eastAsia="MS Mincho" w:hAnsi="Arial" w:cs="Arial"/>
          <w:b/>
          <w:bCs/>
          <w:sz w:val="28"/>
          <w:lang w:eastAsia="ja-JP"/>
        </w:rPr>
        <w:tab/>
      </w:r>
      <w:r>
        <w:rPr>
          <w:rFonts w:ascii="Arial" w:eastAsia="MS Mincho" w:hAnsi="Arial" w:cs="Arial" w:hint="eastAsia"/>
          <w:b/>
          <w:bCs/>
          <w:sz w:val="28"/>
          <w:lang w:eastAsia="ja-JP"/>
        </w:rPr>
        <w:t xml:space="preserve"> </w:t>
      </w:r>
      <w:r>
        <w:rPr>
          <w:rFonts w:ascii="Arial" w:eastAsia="MS Mincho" w:hAnsi="Arial" w:cs="Arial"/>
          <w:b/>
          <w:bCs/>
          <w:sz w:val="28"/>
          <w:lang w:eastAsia="ja-JP"/>
        </w:rPr>
        <w:t xml:space="preserve">                                              </w:t>
      </w:r>
      <w:r w:rsidRPr="00412030">
        <w:rPr>
          <w:rFonts w:ascii="Arial" w:hAnsi="Arial" w:cs="Arial"/>
          <w:b/>
          <w:bCs/>
          <w:sz w:val="28"/>
        </w:rPr>
        <w:t>R1-</w:t>
      </w:r>
      <w:r w:rsidRPr="00412030">
        <w:rPr>
          <w:rFonts w:ascii="Arial" w:hAnsi="Arial" w:cs="Arial"/>
          <w:b/>
          <w:bCs/>
          <w:color w:val="000000" w:themeColor="text1"/>
          <w:sz w:val="28"/>
        </w:rPr>
        <w:t>1</w:t>
      </w:r>
      <w:r w:rsidR="00F16543" w:rsidRPr="00412030">
        <w:rPr>
          <w:rFonts w:ascii="Arial" w:hAnsi="Arial" w:cs="Arial"/>
          <w:b/>
          <w:bCs/>
          <w:color w:val="000000" w:themeColor="text1"/>
          <w:sz w:val="28"/>
        </w:rPr>
        <w:t>9</w:t>
      </w:r>
      <w:r w:rsidR="00412030" w:rsidRPr="00412030">
        <w:rPr>
          <w:rFonts w:ascii="Arial" w:hAnsi="Arial" w:cs="Arial"/>
          <w:b/>
          <w:bCs/>
          <w:color w:val="000000" w:themeColor="text1"/>
          <w:sz w:val="28"/>
        </w:rPr>
        <w:t>11053</w:t>
      </w:r>
      <w:r>
        <w:rPr>
          <w:rFonts w:ascii="Arial" w:hAnsi="Arial" w:cs="Arial"/>
          <w:b/>
          <w:bCs/>
          <w:color w:val="000000" w:themeColor="text1"/>
          <w:sz w:val="28"/>
        </w:rPr>
        <w:t xml:space="preserve"> </w:t>
      </w:r>
      <w:r w:rsidR="009F2597">
        <w:rPr>
          <w:rFonts w:ascii="Arial" w:eastAsia="MS Mincho" w:hAnsi="Arial" w:cs="Arial"/>
          <w:b/>
          <w:bCs/>
          <w:sz w:val="28"/>
          <w:lang w:eastAsia="ja-JP"/>
        </w:rPr>
        <w:t>Chongqing, China, October 14</w:t>
      </w:r>
      <w:r w:rsidR="009F2597" w:rsidRPr="00F93E84">
        <w:rPr>
          <w:rFonts w:ascii="Arial" w:eastAsia="MS Mincho" w:hAnsi="Arial" w:cs="Arial"/>
          <w:b/>
          <w:bCs/>
          <w:sz w:val="28"/>
          <w:vertAlign w:val="superscript"/>
          <w:lang w:eastAsia="ja-JP"/>
        </w:rPr>
        <w:t>th</w:t>
      </w:r>
      <w:r w:rsidR="009F2597">
        <w:rPr>
          <w:rFonts w:ascii="Arial" w:eastAsia="MS Mincho" w:hAnsi="Arial" w:cs="Arial"/>
          <w:b/>
          <w:bCs/>
          <w:sz w:val="28"/>
          <w:lang w:eastAsia="ja-JP"/>
        </w:rPr>
        <w:t xml:space="preserve"> – 20</w:t>
      </w:r>
      <w:r w:rsidR="009F2597" w:rsidRPr="00F93E84">
        <w:rPr>
          <w:rFonts w:ascii="Arial" w:eastAsia="MS Mincho" w:hAnsi="Arial" w:cs="Arial"/>
          <w:b/>
          <w:bCs/>
          <w:sz w:val="28"/>
          <w:vertAlign w:val="superscript"/>
          <w:lang w:eastAsia="ja-JP"/>
        </w:rPr>
        <w:t>th</w:t>
      </w:r>
      <w:r w:rsidR="009F2597">
        <w:rPr>
          <w:rFonts w:ascii="Arial" w:eastAsia="MS Mincho" w:hAnsi="Arial" w:cs="Arial"/>
          <w:b/>
          <w:bCs/>
          <w:sz w:val="28"/>
          <w:lang w:eastAsia="ja-JP"/>
        </w:rPr>
        <w:t>, 2019</w:t>
      </w:r>
    </w:p>
    <w:p w:rsidR="00CD549E" w:rsidRPr="00E509D2" w:rsidRDefault="00D433E2" w:rsidP="008E6D7D">
      <w:pPr>
        <w:pStyle w:val="Header"/>
        <w:tabs>
          <w:tab w:val="left" w:pos="6521"/>
        </w:tabs>
        <w:jc w:val="both"/>
        <w:rPr>
          <w:color w:val="D9D9D9"/>
        </w:rPr>
      </w:pPr>
      <w:r w:rsidRPr="00E509D2">
        <w:rPr>
          <w:color w:val="D9D9D9"/>
          <w:lang w:val="en-US" w:eastAsia="zh-TW"/>
        </w:rPr>
        <w:t xml:space="preserve"> </w:t>
      </w:r>
      <w:r w:rsidR="007E25D8" w:rsidRPr="00E509D2">
        <w:rPr>
          <w:color w:val="D9D9D9"/>
          <w:lang w:val="en-US" w:eastAsia="zh-TW"/>
        </w:rPr>
        <mc:AlternateContent>
          <mc:Choice Requires="wps">
            <w:drawing>
              <wp:anchor distT="0" distB="0" distL="114300" distR="114300" simplePos="0" relativeHeight="251654144" behindDoc="0" locked="1" layoutInCell="1" allowOverlap="1" wp14:anchorId="6E50C1F8" wp14:editId="2B2E3B9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B5AA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4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rsidR="00876D09" w:rsidRPr="001548B9" w:rsidRDefault="0004296E" w:rsidP="008E6D7D">
      <w:pPr>
        <w:tabs>
          <w:tab w:val="left" w:pos="1985"/>
        </w:tabs>
        <w:spacing w:after="240"/>
        <w:jc w:val="both"/>
        <w:rPr>
          <w:rFonts w:ascii="Arial" w:eastAsia="PMingLiU" w:hAnsi="Arial"/>
          <w:b/>
          <w:color w:val="000000"/>
          <w:sz w:val="24"/>
          <w:lang w:eastAsia="zh-TW"/>
        </w:rPr>
      </w:pPr>
      <w:r w:rsidRPr="00682972">
        <w:rPr>
          <w:rFonts w:ascii="Arial" w:hAnsi="Arial"/>
          <w:b/>
          <w:sz w:val="24"/>
        </w:rPr>
        <w:t>Agenda item:</w:t>
      </w:r>
      <w:r w:rsidRPr="00682972">
        <w:rPr>
          <w:rFonts w:ascii="Arial" w:hAnsi="Arial"/>
          <w:b/>
          <w:sz w:val="24"/>
        </w:rPr>
        <w:tab/>
      </w:r>
      <w:r w:rsidR="004168D2">
        <w:rPr>
          <w:rFonts w:ascii="Arial" w:eastAsia="PMingLiU" w:hAnsi="Arial"/>
          <w:color w:val="000000"/>
          <w:sz w:val="24"/>
          <w:lang w:eastAsia="zh-TW"/>
        </w:rPr>
        <w:t>7</w:t>
      </w:r>
      <w:r w:rsidR="0089724A">
        <w:rPr>
          <w:rFonts w:ascii="Arial" w:eastAsia="PMingLiU" w:hAnsi="Arial" w:hint="eastAsia"/>
          <w:color w:val="000000"/>
          <w:sz w:val="24"/>
          <w:lang w:eastAsia="zh-TW"/>
        </w:rPr>
        <w:t>.</w:t>
      </w:r>
      <w:r w:rsidR="00AF4809">
        <w:rPr>
          <w:rFonts w:ascii="Arial" w:eastAsia="PMingLiU" w:hAnsi="Arial"/>
          <w:color w:val="000000"/>
          <w:sz w:val="24"/>
          <w:lang w:eastAsia="zh-TW"/>
        </w:rPr>
        <w:t>2.2.</w:t>
      </w:r>
      <w:r w:rsidR="00D86123">
        <w:rPr>
          <w:rFonts w:ascii="Arial" w:eastAsia="PMingLiU" w:hAnsi="Arial"/>
          <w:color w:val="000000"/>
          <w:sz w:val="24"/>
          <w:lang w:eastAsia="zh-TW"/>
        </w:rPr>
        <w:t>2</w:t>
      </w:r>
      <w:r w:rsidR="00030761">
        <w:rPr>
          <w:rFonts w:ascii="Arial" w:eastAsia="PMingLiU" w:hAnsi="Arial"/>
          <w:color w:val="000000"/>
          <w:sz w:val="24"/>
          <w:lang w:eastAsia="zh-TW"/>
        </w:rPr>
        <w:t>.2</w:t>
      </w:r>
    </w:p>
    <w:p w:rsidR="0004296E" w:rsidRPr="00E0326F" w:rsidRDefault="0004296E" w:rsidP="008E6D7D">
      <w:pPr>
        <w:tabs>
          <w:tab w:val="left" w:pos="1985"/>
        </w:tabs>
        <w:jc w:val="both"/>
        <w:rPr>
          <w:rFonts w:ascii="Arial" w:eastAsia="PMingLiU" w:hAnsi="Arial"/>
          <w:b/>
          <w:sz w:val="24"/>
          <w:lang w:eastAsia="zh-TW"/>
        </w:rPr>
      </w:pPr>
      <w:r w:rsidRPr="007F63FD">
        <w:rPr>
          <w:rFonts w:ascii="Arial" w:hAnsi="Arial"/>
          <w:b/>
          <w:sz w:val="24"/>
        </w:rPr>
        <w:t xml:space="preserve">Source: </w:t>
      </w:r>
      <w:r w:rsidRPr="007F63FD">
        <w:rPr>
          <w:rFonts w:ascii="Arial" w:hAnsi="Arial"/>
          <w:b/>
          <w:sz w:val="24"/>
        </w:rPr>
        <w:tab/>
      </w:r>
      <w:r w:rsidR="00E0326F">
        <w:rPr>
          <w:rFonts w:ascii="Arial" w:eastAsia="PMingLiU" w:hAnsi="Arial" w:hint="eastAsia"/>
          <w:sz w:val="24"/>
          <w:lang w:eastAsia="zh-TW"/>
        </w:rPr>
        <w:t>Media</w:t>
      </w:r>
      <w:r w:rsidR="00E509D2">
        <w:rPr>
          <w:rFonts w:ascii="Arial" w:eastAsia="PMingLiU" w:hAnsi="Arial" w:hint="eastAsia"/>
          <w:sz w:val="24"/>
          <w:lang w:eastAsia="zh-TW"/>
        </w:rPr>
        <w:t>T</w:t>
      </w:r>
      <w:r w:rsidR="00E0326F">
        <w:rPr>
          <w:rFonts w:ascii="Arial" w:eastAsia="PMingLiU" w:hAnsi="Arial" w:hint="eastAsia"/>
          <w:sz w:val="24"/>
          <w:lang w:eastAsia="zh-TW"/>
        </w:rPr>
        <w:t>ek</w:t>
      </w:r>
      <w:r w:rsidR="00E509D2">
        <w:rPr>
          <w:rFonts w:ascii="Arial" w:eastAsia="PMingLiU" w:hAnsi="Arial" w:hint="eastAsia"/>
          <w:sz w:val="24"/>
          <w:lang w:eastAsia="zh-TW"/>
        </w:rPr>
        <w:t xml:space="preserve"> Inc.</w:t>
      </w:r>
    </w:p>
    <w:p w:rsidR="00876D09" w:rsidRPr="00421298" w:rsidRDefault="0004296E" w:rsidP="008E6D7D">
      <w:pPr>
        <w:tabs>
          <w:tab w:val="left" w:pos="1985"/>
        </w:tabs>
        <w:spacing w:after="240"/>
        <w:jc w:val="both"/>
        <w:rPr>
          <w:rFonts w:ascii="Arial" w:eastAsia="PMingLiU" w:hAnsi="Arial"/>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29328E">
        <w:rPr>
          <w:rFonts w:ascii="Arial" w:hAnsi="Arial"/>
          <w:sz w:val="24"/>
        </w:rPr>
        <w:t>Enhancements to Initial A</w:t>
      </w:r>
      <w:r w:rsidR="00421298" w:rsidRPr="00421298">
        <w:rPr>
          <w:rFonts w:ascii="Arial" w:hAnsi="Arial"/>
          <w:sz w:val="24"/>
        </w:rPr>
        <w:t xml:space="preserve">ccess </w:t>
      </w:r>
      <w:r w:rsidR="0029328E">
        <w:rPr>
          <w:rFonts w:ascii="Arial" w:hAnsi="Arial"/>
          <w:sz w:val="24"/>
        </w:rPr>
        <w:t>P</w:t>
      </w:r>
      <w:r w:rsidR="005B01CA">
        <w:rPr>
          <w:rFonts w:ascii="Arial" w:hAnsi="Arial"/>
          <w:sz w:val="24"/>
        </w:rPr>
        <w:t>rocedure</w:t>
      </w:r>
    </w:p>
    <w:p w:rsidR="00CD549E" w:rsidRPr="00C412EE" w:rsidRDefault="0004296E" w:rsidP="008E6D7D">
      <w:pPr>
        <w:tabs>
          <w:tab w:val="left" w:pos="1985"/>
        </w:tabs>
        <w:spacing w:after="240"/>
        <w:jc w:val="both"/>
        <w:rPr>
          <w:rFonts w:ascii="Arial" w:eastAsia="PMingLiU"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6A72FA">
        <w:rPr>
          <w:rFonts w:ascii="Arial" w:hAnsi="Arial"/>
          <w:sz w:val="24"/>
        </w:rPr>
        <w:t xml:space="preserve"> and decision</w:t>
      </w:r>
    </w:p>
    <w:p w:rsidR="00D70D4E" w:rsidRDefault="00D42F94" w:rsidP="008E6D7D">
      <w:pPr>
        <w:pStyle w:val="Heading1"/>
        <w:jc w:val="both"/>
      </w:pPr>
      <w:r>
        <w:t>Introduction</w:t>
      </w:r>
    </w:p>
    <w:p w:rsidR="00410A99" w:rsidRPr="007B4DF7" w:rsidRDefault="00D95361" w:rsidP="009B4F9A">
      <w:pPr>
        <w:rPr>
          <w:lang w:val="en-GB"/>
        </w:rPr>
      </w:pPr>
      <w:r>
        <w:rPr>
          <w:lang w:val="en-GB"/>
        </w:rPr>
        <w:t xml:space="preserve">Following the guidance from </w:t>
      </w:r>
      <w:r w:rsidR="00324128">
        <w:rPr>
          <w:lang w:val="en-GB"/>
        </w:rPr>
        <w:fldChar w:fldCharType="begin"/>
      </w:r>
      <w:r w:rsidR="00324128">
        <w:rPr>
          <w:lang w:val="en-GB"/>
        </w:rPr>
        <w:instrText xml:space="preserve"> REF _Ref16873406 \w \h </w:instrText>
      </w:r>
      <w:r w:rsidR="00324128">
        <w:rPr>
          <w:lang w:val="en-GB"/>
        </w:rPr>
      </w:r>
      <w:r w:rsidR="00324128">
        <w:rPr>
          <w:lang w:val="en-GB"/>
        </w:rPr>
        <w:fldChar w:fldCharType="separate"/>
      </w:r>
      <w:r w:rsidR="00362242">
        <w:rPr>
          <w:lang w:val="en-GB"/>
        </w:rPr>
        <w:t>[1]</w:t>
      </w:r>
      <w:r w:rsidR="00324128">
        <w:rPr>
          <w:lang w:val="en-GB"/>
        </w:rPr>
        <w:fldChar w:fldCharType="end"/>
      </w:r>
      <w:r w:rsidR="00324128">
        <w:rPr>
          <w:lang w:val="en-GB"/>
        </w:rPr>
        <w:t xml:space="preserve">, we address the essential remaining issues during an initial access procedure in this contribution. </w:t>
      </w:r>
      <w:bookmarkEnd w:id="0"/>
    </w:p>
    <w:p w:rsidR="00951416" w:rsidRDefault="00951416" w:rsidP="001701FD">
      <w:pPr>
        <w:pStyle w:val="Heading1"/>
        <w:rPr>
          <w:lang w:eastAsia="zh-CN"/>
        </w:rPr>
      </w:pPr>
      <w:bookmarkStart w:id="1" w:name="_GoBack"/>
      <w:bookmarkEnd w:id="1"/>
      <w:r>
        <w:rPr>
          <w:lang w:eastAsia="zh-CN"/>
        </w:rPr>
        <w:t xml:space="preserve">QCL derivation </w:t>
      </w:r>
    </w:p>
    <w:tbl>
      <w:tblPr>
        <w:tblStyle w:val="TableGrid"/>
        <w:tblW w:w="0" w:type="auto"/>
        <w:tblLook w:val="04A0" w:firstRow="1" w:lastRow="0" w:firstColumn="1" w:lastColumn="0" w:noHBand="0" w:noVBand="1"/>
      </w:tblPr>
      <w:tblGrid>
        <w:gridCol w:w="9631"/>
      </w:tblGrid>
      <w:tr w:rsidR="00CA4C4E" w:rsidRPr="00706551" w:rsidTr="00CA4C4E">
        <w:tc>
          <w:tcPr>
            <w:tcW w:w="9631" w:type="dxa"/>
          </w:tcPr>
          <w:p w:rsidR="00BA598A" w:rsidRPr="00706551" w:rsidRDefault="00BA598A" w:rsidP="00BA598A">
            <w:pPr>
              <w:rPr>
                <w:rFonts w:ascii="Times New Roman" w:hAnsi="Times New Roman"/>
              </w:rPr>
            </w:pPr>
            <w:r w:rsidRPr="00706551">
              <w:rPr>
                <w:rFonts w:ascii="Times New Roman" w:hAnsi="Times New Roman"/>
                <w:highlight w:val="green"/>
              </w:rPr>
              <w:t>Agreement:</w:t>
            </w:r>
            <w:r w:rsidRPr="00706551">
              <w:rPr>
                <w:rFonts w:ascii="Times New Roman" w:hAnsi="Times New Roman"/>
              </w:rPr>
              <w:t xml:space="preserve"> (RAN1 #97 1905)</w:t>
            </w:r>
          </w:p>
          <w:p w:rsidR="00BA598A" w:rsidRPr="00706551" w:rsidRDefault="00BA598A" w:rsidP="00706551">
            <w:pPr>
              <w:spacing w:line="288" w:lineRule="auto"/>
              <w:rPr>
                <w:rFonts w:ascii="Times New Roman" w:eastAsia="MS Mincho" w:hAnsi="Times New Roman"/>
              </w:rPr>
            </w:pPr>
            <w:r w:rsidRPr="00706551">
              <w:rPr>
                <w:rFonts w:ascii="Times New Roman" w:hAnsi="Times New Roman"/>
              </w:rPr>
              <w:t>For a serving cell, UE may assume a QCL relation between SS/PBCH blocks which are detected across DRS transmission windows and have the same value of modulo(A, Q), once Q is known to the UE</w:t>
            </w:r>
          </w:p>
          <w:p w:rsidR="00BA598A" w:rsidRPr="00706551" w:rsidRDefault="00BA598A" w:rsidP="00BA598A">
            <w:pPr>
              <w:pStyle w:val="ListParagraph"/>
              <w:numPr>
                <w:ilvl w:val="0"/>
                <w:numId w:val="26"/>
              </w:numPr>
              <w:spacing w:line="288" w:lineRule="auto"/>
              <w:ind w:firstLineChars="0"/>
              <w:contextualSpacing/>
              <w:rPr>
                <w:rFonts w:ascii="Times New Roman" w:hAnsi="Times New Roman"/>
                <w:sz w:val="20"/>
                <w:szCs w:val="20"/>
              </w:rPr>
            </w:pPr>
            <w:r w:rsidRPr="00706551">
              <w:rPr>
                <w:rFonts w:ascii="Times New Roman" w:hAnsi="Times New Roman"/>
                <w:sz w:val="20"/>
                <w:szCs w:val="20"/>
              </w:rPr>
              <w:t>FFS: A is the SSB candidate position index and/or PBCH DMRS sequence index</w:t>
            </w:r>
          </w:p>
          <w:p w:rsidR="00BA598A" w:rsidRPr="00AB75C3" w:rsidRDefault="00BA598A" w:rsidP="00BA598A">
            <w:pPr>
              <w:pStyle w:val="ListParagraph"/>
              <w:numPr>
                <w:ilvl w:val="0"/>
                <w:numId w:val="26"/>
              </w:numPr>
              <w:spacing w:line="288" w:lineRule="auto"/>
              <w:ind w:firstLineChars="0"/>
              <w:contextualSpacing/>
              <w:rPr>
                <w:rFonts w:ascii="Times New Roman" w:hAnsi="Times New Roman"/>
                <w:sz w:val="20"/>
                <w:szCs w:val="20"/>
              </w:rPr>
            </w:pPr>
            <w:r w:rsidRPr="00AB75C3">
              <w:rPr>
                <w:rFonts w:ascii="Times New Roman" w:hAnsi="Times New Roman"/>
                <w:sz w:val="20"/>
                <w:szCs w:val="20"/>
                <w:highlight w:val="yellow"/>
              </w:rPr>
              <w:t>FFS: How Q is indicated or determined</w:t>
            </w:r>
            <w:r w:rsidRPr="00AB75C3">
              <w:rPr>
                <w:rFonts w:ascii="Times New Roman" w:hAnsi="Times New Roman"/>
                <w:sz w:val="20"/>
                <w:szCs w:val="20"/>
              </w:rPr>
              <w:t xml:space="preserve"> </w:t>
            </w:r>
          </w:p>
          <w:p w:rsidR="00B95546" w:rsidRPr="00706551" w:rsidRDefault="00BA598A" w:rsidP="00BA598A">
            <w:pPr>
              <w:pStyle w:val="ListParagraph"/>
              <w:numPr>
                <w:ilvl w:val="0"/>
                <w:numId w:val="26"/>
              </w:numPr>
              <w:spacing w:line="288" w:lineRule="auto"/>
              <w:ind w:firstLineChars="0"/>
              <w:contextualSpacing/>
              <w:rPr>
                <w:rFonts w:ascii="Times New Roman" w:hAnsi="Times New Roman"/>
                <w:sz w:val="20"/>
                <w:szCs w:val="20"/>
              </w:rPr>
            </w:pPr>
            <w:r w:rsidRPr="00706551">
              <w:rPr>
                <w:rFonts w:ascii="Times New Roman" w:hAnsi="Times New Roman"/>
                <w:sz w:val="20"/>
                <w:szCs w:val="20"/>
              </w:rPr>
              <w:t>FFS: Restriction on the range of Q.</w:t>
            </w:r>
          </w:p>
          <w:p w:rsidR="00CA4C4E" w:rsidRPr="00706551" w:rsidRDefault="00BA598A" w:rsidP="00BA598A">
            <w:pPr>
              <w:pStyle w:val="ListParagraph"/>
              <w:numPr>
                <w:ilvl w:val="0"/>
                <w:numId w:val="26"/>
              </w:numPr>
              <w:spacing w:line="288" w:lineRule="auto"/>
              <w:ind w:firstLineChars="0"/>
              <w:contextualSpacing/>
              <w:rPr>
                <w:rFonts w:ascii="Times New Roman" w:hAnsi="Times New Roman"/>
                <w:sz w:val="20"/>
                <w:szCs w:val="20"/>
              </w:rPr>
            </w:pPr>
            <w:r w:rsidRPr="00706551">
              <w:rPr>
                <w:rFonts w:ascii="Times New Roman" w:hAnsi="Times New Roman"/>
                <w:sz w:val="20"/>
                <w:szCs w:val="20"/>
              </w:rPr>
              <w:t>Note: Neighbor cell RRM measurements will be addressed separately</w:t>
            </w:r>
          </w:p>
        </w:tc>
      </w:tr>
    </w:tbl>
    <w:p w:rsidR="002742F7" w:rsidRDefault="002742F7" w:rsidP="002742F7"/>
    <w:tbl>
      <w:tblPr>
        <w:tblStyle w:val="TableGrid"/>
        <w:tblW w:w="0" w:type="auto"/>
        <w:tblLook w:val="04A0" w:firstRow="1" w:lastRow="0" w:firstColumn="1" w:lastColumn="0" w:noHBand="0" w:noVBand="1"/>
      </w:tblPr>
      <w:tblGrid>
        <w:gridCol w:w="9631"/>
      </w:tblGrid>
      <w:tr w:rsidR="00481AC6" w:rsidRPr="00481AC6" w:rsidTr="00481AC6">
        <w:tc>
          <w:tcPr>
            <w:tcW w:w="9631" w:type="dxa"/>
          </w:tcPr>
          <w:p w:rsidR="00481AC6" w:rsidRPr="00481AC6" w:rsidRDefault="00481AC6" w:rsidP="00481AC6">
            <w:pPr>
              <w:rPr>
                <w:rFonts w:ascii="Times New Roman" w:hAnsi="Times New Roman"/>
              </w:rPr>
            </w:pPr>
            <w:r w:rsidRPr="00481AC6">
              <w:rPr>
                <w:rFonts w:ascii="Times New Roman" w:hAnsi="Times New Roman"/>
                <w:highlight w:val="green"/>
              </w:rPr>
              <w:t>Agreement:</w:t>
            </w:r>
            <w:r w:rsidRPr="00481AC6">
              <w:rPr>
                <w:rFonts w:ascii="Times New Roman" w:hAnsi="Times New Roman"/>
              </w:rPr>
              <w:t xml:space="preserve"> (RAN1 #97 1905)</w:t>
            </w:r>
          </w:p>
          <w:p w:rsidR="00481AC6" w:rsidRPr="00481AC6" w:rsidRDefault="00481AC6" w:rsidP="00481AC6">
            <w:pPr>
              <w:snapToGrid w:val="0"/>
              <w:jc w:val="both"/>
              <w:rPr>
                <w:rFonts w:ascii="Times New Roman" w:hAnsi="Times New Roman"/>
              </w:rPr>
            </w:pPr>
            <w:r w:rsidRPr="00481AC6">
              <w:rPr>
                <w:rFonts w:ascii="Times New Roman" w:hAnsi="Times New Roman"/>
              </w:rPr>
              <w:t>For SSB-based RLM, UE may assume the RLM measurement window to be the same as the DRS transmission window.</w:t>
            </w:r>
          </w:p>
          <w:p w:rsidR="00481AC6" w:rsidRPr="00481AC6" w:rsidRDefault="00481AC6" w:rsidP="00481AC6">
            <w:pPr>
              <w:pStyle w:val="ListParagraph"/>
              <w:numPr>
                <w:ilvl w:val="0"/>
                <w:numId w:val="25"/>
              </w:numPr>
              <w:overflowPunct w:val="0"/>
              <w:autoSpaceDE w:val="0"/>
              <w:autoSpaceDN w:val="0"/>
              <w:adjustRightInd w:val="0"/>
              <w:snapToGrid w:val="0"/>
              <w:spacing w:after="180"/>
              <w:ind w:firstLineChars="0"/>
              <w:contextualSpacing/>
              <w:jc w:val="both"/>
              <w:textAlignment w:val="baseline"/>
              <w:rPr>
                <w:rFonts w:ascii="Times New Roman" w:hAnsi="Times New Roman"/>
                <w:sz w:val="20"/>
                <w:szCs w:val="20"/>
              </w:rPr>
            </w:pPr>
            <w:r w:rsidRPr="00481AC6">
              <w:rPr>
                <w:rFonts w:ascii="Times New Roman" w:hAnsi="Times New Roman"/>
                <w:sz w:val="20"/>
                <w:szCs w:val="20"/>
              </w:rPr>
              <w:t xml:space="preserve">Note: This implies that the SSB-based RLM-RS cannot fall outside the measurement window </w:t>
            </w:r>
          </w:p>
          <w:p w:rsidR="00481AC6" w:rsidRPr="00481AC6" w:rsidRDefault="00481AC6" w:rsidP="002742F7">
            <w:pPr>
              <w:pStyle w:val="ListParagraph"/>
              <w:numPr>
                <w:ilvl w:val="0"/>
                <w:numId w:val="25"/>
              </w:numPr>
              <w:overflowPunct w:val="0"/>
              <w:autoSpaceDE w:val="0"/>
              <w:autoSpaceDN w:val="0"/>
              <w:adjustRightInd w:val="0"/>
              <w:snapToGrid w:val="0"/>
              <w:spacing w:after="180"/>
              <w:ind w:firstLineChars="0"/>
              <w:contextualSpacing/>
              <w:jc w:val="both"/>
              <w:textAlignment w:val="baseline"/>
              <w:rPr>
                <w:rFonts w:ascii="Times New Roman" w:hAnsi="Times New Roman"/>
                <w:sz w:val="20"/>
                <w:szCs w:val="20"/>
              </w:rPr>
            </w:pPr>
            <w:r w:rsidRPr="00AB75C3">
              <w:rPr>
                <w:rFonts w:ascii="Times New Roman" w:hAnsi="Times New Roman"/>
                <w:sz w:val="20"/>
                <w:szCs w:val="20"/>
              </w:rPr>
              <w:t>FFS: Whether and how DRS transmission window is configured to the UE</w:t>
            </w:r>
          </w:p>
        </w:tc>
      </w:tr>
    </w:tbl>
    <w:p w:rsidR="00706551" w:rsidRDefault="00706551" w:rsidP="002742F7"/>
    <w:tbl>
      <w:tblPr>
        <w:tblStyle w:val="TableGrid"/>
        <w:tblW w:w="0" w:type="auto"/>
        <w:tblLook w:val="04A0" w:firstRow="1" w:lastRow="0" w:firstColumn="1" w:lastColumn="0" w:noHBand="0" w:noVBand="1"/>
      </w:tblPr>
      <w:tblGrid>
        <w:gridCol w:w="9631"/>
      </w:tblGrid>
      <w:tr w:rsidR="00BC6C01" w:rsidRPr="00BC6C01" w:rsidTr="00BC6C01">
        <w:tc>
          <w:tcPr>
            <w:tcW w:w="9631" w:type="dxa"/>
          </w:tcPr>
          <w:p w:rsidR="00BC6C01" w:rsidRPr="00BC6C01" w:rsidRDefault="00BC6C01" w:rsidP="00BC6C01">
            <w:pPr>
              <w:rPr>
                <w:rFonts w:ascii="Times New Roman" w:hAnsi="Times New Roman"/>
                <w:lang w:eastAsia="x-none"/>
              </w:rPr>
            </w:pPr>
            <w:r w:rsidRPr="00BC6C01">
              <w:rPr>
                <w:rFonts w:ascii="Times New Roman" w:hAnsi="Times New Roman"/>
                <w:highlight w:val="green"/>
                <w:lang w:eastAsia="x-none"/>
              </w:rPr>
              <w:t>Agreement:</w:t>
            </w:r>
            <w:r w:rsidRPr="00BC6C01">
              <w:rPr>
                <w:rFonts w:ascii="Times New Roman" w:hAnsi="Times New Roman"/>
                <w:lang w:eastAsia="x-none"/>
              </w:rPr>
              <w:t xml:space="preserve"> (RAN1 #98 1908)</w:t>
            </w:r>
          </w:p>
          <w:p w:rsidR="00BC6C01" w:rsidRPr="00BC6C01" w:rsidRDefault="00BC6C01" w:rsidP="00BC6C01">
            <w:pPr>
              <w:spacing w:line="276" w:lineRule="auto"/>
              <w:jc w:val="both"/>
              <w:rPr>
                <w:rFonts w:ascii="Times New Roman" w:hAnsi="Times New Roman"/>
              </w:rPr>
            </w:pPr>
            <w:r w:rsidRPr="00BC6C01">
              <w:rPr>
                <w:rFonts w:ascii="Times New Roman" w:hAnsi="Times New Roman"/>
              </w:rPr>
              <w:t xml:space="preserve">For purposes of SSB QCL derivation, the following values of Q are supported: {1, 2, 4, </w:t>
            </w:r>
            <w:proofErr w:type="gramStart"/>
            <w:r w:rsidRPr="00BC6C01">
              <w:rPr>
                <w:rFonts w:ascii="Times New Roman" w:hAnsi="Times New Roman"/>
              </w:rPr>
              <w:t>8</w:t>
            </w:r>
            <w:proofErr w:type="gramEnd"/>
            <w:r w:rsidRPr="00BC6C01">
              <w:rPr>
                <w:rFonts w:ascii="Times New Roman" w:hAnsi="Times New Roman"/>
              </w:rPr>
              <w:t>}.</w:t>
            </w:r>
          </w:p>
          <w:p w:rsidR="00BC6C01" w:rsidRPr="00BC6C01" w:rsidRDefault="00BC6C01" w:rsidP="002742F7">
            <w:pPr>
              <w:pStyle w:val="ListParagraph"/>
              <w:numPr>
                <w:ilvl w:val="0"/>
                <w:numId w:val="41"/>
              </w:numPr>
              <w:spacing w:line="276" w:lineRule="auto"/>
              <w:ind w:firstLineChars="0"/>
              <w:contextualSpacing/>
              <w:jc w:val="both"/>
              <w:rPr>
                <w:rFonts w:ascii="Times New Roman" w:hAnsi="Times New Roman"/>
                <w:sz w:val="20"/>
                <w:szCs w:val="20"/>
              </w:rPr>
            </w:pPr>
            <w:r w:rsidRPr="0068197D">
              <w:rPr>
                <w:rFonts w:ascii="Times New Roman" w:hAnsi="Times New Roman"/>
                <w:sz w:val="20"/>
                <w:szCs w:val="20"/>
                <w:highlight w:val="yellow"/>
              </w:rPr>
              <w:t>FFS: Further down-selection of allowed values.</w:t>
            </w:r>
          </w:p>
        </w:tc>
      </w:tr>
    </w:tbl>
    <w:p w:rsidR="00481AC6" w:rsidRDefault="00481AC6" w:rsidP="002742F7"/>
    <w:tbl>
      <w:tblPr>
        <w:tblStyle w:val="TableGrid"/>
        <w:tblW w:w="0" w:type="auto"/>
        <w:tblLook w:val="04A0" w:firstRow="1" w:lastRow="0" w:firstColumn="1" w:lastColumn="0" w:noHBand="0" w:noVBand="1"/>
      </w:tblPr>
      <w:tblGrid>
        <w:gridCol w:w="9631"/>
      </w:tblGrid>
      <w:tr w:rsidR="000956AC" w:rsidRPr="000956AC" w:rsidTr="000956AC">
        <w:tc>
          <w:tcPr>
            <w:tcW w:w="9631" w:type="dxa"/>
          </w:tcPr>
          <w:p w:rsidR="000956AC" w:rsidRPr="000956AC" w:rsidRDefault="000956AC" w:rsidP="000956AC">
            <w:pPr>
              <w:spacing w:line="288" w:lineRule="auto"/>
              <w:contextualSpacing/>
              <w:rPr>
                <w:rFonts w:ascii="Times New Roman" w:hAnsi="Times New Roman"/>
              </w:rPr>
            </w:pPr>
            <w:r w:rsidRPr="000956AC">
              <w:rPr>
                <w:rFonts w:ascii="Times New Roman" w:hAnsi="Times New Roman"/>
                <w:highlight w:val="green"/>
              </w:rPr>
              <w:t>Agreement:</w:t>
            </w:r>
            <w:r w:rsidRPr="000956AC">
              <w:rPr>
                <w:rFonts w:ascii="Times New Roman" w:hAnsi="Times New Roman"/>
                <w:lang w:eastAsia="x-none"/>
              </w:rPr>
              <w:t xml:space="preserve"> (RAN1 #98 1908)</w:t>
            </w:r>
          </w:p>
          <w:p w:rsidR="000956AC" w:rsidRPr="000956AC" w:rsidRDefault="000956AC" w:rsidP="000956AC">
            <w:pPr>
              <w:spacing w:line="288" w:lineRule="auto"/>
              <w:contextualSpacing/>
              <w:rPr>
                <w:rFonts w:ascii="Times New Roman" w:hAnsi="Times New Roman"/>
                <w:lang w:eastAsia="ja-JP"/>
              </w:rPr>
            </w:pPr>
            <w:r w:rsidRPr="000956AC">
              <w:rPr>
                <w:rFonts w:ascii="Times New Roman" w:hAnsi="Times New Roman"/>
              </w:rPr>
              <w:t xml:space="preserve">For a cell (either serving or a </w:t>
            </w:r>
            <w:proofErr w:type="spellStart"/>
            <w:r w:rsidRPr="000956AC">
              <w:rPr>
                <w:rFonts w:ascii="Times New Roman" w:hAnsi="Times New Roman"/>
              </w:rPr>
              <w:t>neighbour</w:t>
            </w:r>
            <w:proofErr w:type="spellEnd"/>
            <w:r w:rsidRPr="000956AC">
              <w:rPr>
                <w:rFonts w:ascii="Times New Roman" w:hAnsi="Times New Roman"/>
              </w:rPr>
              <w:t xml:space="preserve"> cell), </w:t>
            </w:r>
            <w:r w:rsidRPr="000956AC">
              <w:rPr>
                <w:rFonts w:ascii="Times New Roman" w:hAnsi="Times New Roman"/>
                <w:lang w:eastAsia="ja-JP"/>
              </w:rPr>
              <w:t>UE may assume a QCL relation between SS/PBCH blocks within or across DRS transmission or measurement windows that have the same value of modulo(A, Q), once Q is known to the UE</w:t>
            </w:r>
          </w:p>
          <w:p w:rsidR="000956AC" w:rsidRPr="000956AC" w:rsidRDefault="000956AC" w:rsidP="000956AC">
            <w:pPr>
              <w:pStyle w:val="ListParagraph"/>
              <w:numPr>
                <w:ilvl w:val="0"/>
                <w:numId w:val="41"/>
              </w:numPr>
              <w:spacing w:line="276" w:lineRule="auto"/>
              <w:ind w:firstLineChars="0"/>
              <w:contextualSpacing/>
              <w:jc w:val="both"/>
              <w:rPr>
                <w:rFonts w:ascii="Times New Roman" w:hAnsi="Times New Roman"/>
                <w:sz w:val="20"/>
                <w:szCs w:val="20"/>
              </w:rPr>
            </w:pPr>
            <w:r w:rsidRPr="000956AC">
              <w:rPr>
                <w:rFonts w:ascii="Times New Roman" w:hAnsi="Times New Roman"/>
                <w:sz w:val="20"/>
                <w:szCs w:val="20"/>
              </w:rPr>
              <w:t>A is the PBCH DMRS sequence index.</w:t>
            </w:r>
          </w:p>
          <w:p w:rsidR="000956AC" w:rsidRPr="000956AC" w:rsidRDefault="000956AC" w:rsidP="000956AC">
            <w:pPr>
              <w:pStyle w:val="ListParagraph"/>
              <w:numPr>
                <w:ilvl w:val="0"/>
                <w:numId w:val="41"/>
              </w:numPr>
              <w:spacing w:line="276" w:lineRule="auto"/>
              <w:ind w:firstLineChars="0"/>
              <w:contextualSpacing/>
              <w:jc w:val="both"/>
              <w:rPr>
                <w:rFonts w:ascii="Times New Roman" w:hAnsi="Times New Roman"/>
                <w:sz w:val="20"/>
                <w:szCs w:val="20"/>
              </w:rPr>
            </w:pPr>
            <w:r w:rsidRPr="000956AC">
              <w:rPr>
                <w:rFonts w:ascii="Times New Roman" w:hAnsi="Times New Roman"/>
                <w:sz w:val="20"/>
                <w:szCs w:val="20"/>
              </w:rPr>
              <w:t xml:space="preserve">Note: This agreement extends a prior agreement for serving cells on QCL relation between SS/PBCH blocks to </w:t>
            </w:r>
            <w:proofErr w:type="spellStart"/>
            <w:r w:rsidRPr="000956AC">
              <w:rPr>
                <w:rFonts w:ascii="Times New Roman" w:hAnsi="Times New Roman"/>
                <w:sz w:val="20"/>
                <w:szCs w:val="20"/>
              </w:rPr>
              <w:t>neighbour</w:t>
            </w:r>
            <w:proofErr w:type="spellEnd"/>
            <w:r w:rsidRPr="000956AC">
              <w:rPr>
                <w:rFonts w:ascii="Times New Roman" w:hAnsi="Times New Roman"/>
                <w:sz w:val="20"/>
                <w:szCs w:val="20"/>
              </w:rPr>
              <w:t xml:space="preserve"> cells</w:t>
            </w:r>
          </w:p>
        </w:tc>
      </w:tr>
    </w:tbl>
    <w:p w:rsidR="00CF5461" w:rsidRDefault="00CF5461" w:rsidP="002742F7"/>
    <w:tbl>
      <w:tblPr>
        <w:tblStyle w:val="TableGrid"/>
        <w:tblW w:w="0" w:type="auto"/>
        <w:tblLook w:val="04A0" w:firstRow="1" w:lastRow="0" w:firstColumn="1" w:lastColumn="0" w:noHBand="0" w:noVBand="1"/>
      </w:tblPr>
      <w:tblGrid>
        <w:gridCol w:w="9631"/>
      </w:tblGrid>
      <w:tr w:rsidR="00DA3804" w:rsidRPr="00DA3804" w:rsidTr="00DA3804">
        <w:tc>
          <w:tcPr>
            <w:tcW w:w="9631" w:type="dxa"/>
          </w:tcPr>
          <w:p w:rsidR="0068197D" w:rsidRDefault="00DA3804" w:rsidP="00DA3804">
            <w:pPr>
              <w:spacing w:line="276" w:lineRule="auto"/>
              <w:jc w:val="both"/>
              <w:rPr>
                <w:rFonts w:ascii="Times New Roman" w:hAnsi="Times New Roman"/>
              </w:rPr>
            </w:pPr>
            <w:r w:rsidRPr="00DA3804">
              <w:rPr>
                <w:rFonts w:ascii="Times New Roman" w:hAnsi="Times New Roman"/>
                <w:highlight w:val="green"/>
              </w:rPr>
              <w:lastRenderedPageBreak/>
              <w:t>Agreement:</w:t>
            </w:r>
            <w:r w:rsidRPr="00DA3804">
              <w:rPr>
                <w:rFonts w:ascii="Times New Roman" w:hAnsi="Times New Roman"/>
              </w:rPr>
              <w:t xml:space="preserve"> (RAN1 #98 1908)</w:t>
            </w:r>
          </w:p>
          <w:p w:rsidR="00DA3804" w:rsidRPr="00DA3804" w:rsidRDefault="00DA3804" w:rsidP="00DA3804">
            <w:pPr>
              <w:spacing w:line="276" w:lineRule="auto"/>
              <w:jc w:val="both"/>
              <w:rPr>
                <w:rFonts w:ascii="Times New Roman" w:hAnsi="Times New Roman"/>
              </w:rPr>
            </w:pPr>
            <w:r w:rsidRPr="00DA3804">
              <w:rPr>
                <w:rFonts w:ascii="Times New Roman" w:hAnsi="Times New Roman"/>
              </w:rPr>
              <w:t>If Q is known, candidate monitoring slots for Type0 PDCCH search space are the PDCCH monitoring slots associated with SS/PBCH blocks that are QCL with the SS/PBCH block from which the UE determines that a CORESET for Type0-PDCCH CSS set is present</w:t>
            </w:r>
          </w:p>
          <w:p w:rsidR="00DA3804" w:rsidRPr="00DA3804" w:rsidRDefault="00DA3804" w:rsidP="00DA3804">
            <w:pPr>
              <w:pStyle w:val="ListParagraph"/>
              <w:numPr>
                <w:ilvl w:val="0"/>
                <w:numId w:val="42"/>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68197D">
              <w:rPr>
                <w:rFonts w:ascii="Times New Roman" w:hAnsi="Times New Roman"/>
                <w:sz w:val="20"/>
                <w:szCs w:val="20"/>
                <w:highlight w:val="yellow"/>
              </w:rPr>
              <w:t xml:space="preserve">Note: Q may be always known depending on where Q is </w:t>
            </w:r>
            <w:proofErr w:type="spellStart"/>
            <w:r w:rsidRPr="0068197D">
              <w:rPr>
                <w:rFonts w:ascii="Times New Roman" w:hAnsi="Times New Roman"/>
                <w:sz w:val="20"/>
                <w:szCs w:val="20"/>
                <w:highlight w:val="yellow"/>
              </w:rPr>
              <w:t>signalled</w:t>
            </w:r>
            <w:proofErr w:type="spellEnd"/>
            <w:r w:rsidRPr="0068197D">
              <w:rPr>
                <w:rFonts w:ascii="Times New Roman" w:hAnsi="Times New Roman"/>
                <w:sz w:val="20"/>
                <w:szCs w:val="20"/>
                <w:highlight w:val="yellow"/>
              </w:rPr>
              <w:t>. This aspect is to be discussed further.</w:t>
            </w:r>
          </w:p>
        </w:tc>
      </w:tr>
    </w:tbl>
    <w:p w:rsidR="00DA3804" w:rsidRDefault="00DA3804" w:rsidP="002742F7"/>
    <w:p w:rsidR="008E5C58" w:rsidRDefault="008E5C58" w:rsidP="002742F7">
      <w:r>
        <w:t xml:space="preserve">At the previous RAN1 meeting, it was agreed that the supported Q values are {1, 2, 4, </w:t>
      </w:r>
      <w:proofErr w:type="gramStart"/>
      <w:r>
        <w:t>8</w:t>
      </w:r>
      <w:proofErr w:type="gramEnd"/>
      <w:r>
        <w:t>} and further down-selection is possible. To some companies understanding, Q is the maximum number of SSBs instead of the number of actually transmitted SSBs. If so, we think the supported values of Q should be further restricted to the following.</w:t>
      </w:r>
    </w:p>
    <w:p w:rsidR="00152487" w:rsidRDefault="008E5C58" w:rsidP="00AB75C3">
      <w:pPr>
        <w:pStyle w:val="Caption"/>
      </w:pPr>
      <w:bookmarkStart w:id="2" w:name="_Ref21422769"/>
      <w:r>
        <w:t xml:space="preserve">Proposal </w:t>
      </w:r>
      <w:fldSimple w:instr=" SEQ Proposal \* ARABIC ">
        <w:r w:rsidR="00362242">
          <w:rPr>
            <w:noProof/>
          </w:rPr>
          <w:t>1</w:t>
        </w:r>
      </w:fldSimple>
      <w:r>
        <w:t>: Support Q</w:t>
      </w:r>
      <w:proofErr w:type="gramStart"/>
      <w:r>
        <w:t>={</w:t>
      </w:r>
      <w:proofErr w:type="gramEnd"/>
      <w:r>
        <w:t>1, 4} for SCS=15kHz and Q={2, 8} for SCS=30kHz.</w:t>
      </w:r>
      <w:bookmarkEnd w:id="2"/>
      <w:r>
        <w:t xml:space="preserve"> </w:t>
      </w:r>
    </w:p>
    <w:p w:rsidR="00152487" w:rsidRDefault="00152487" w:rsidP="008E5C58">
      <w:r>
        <w:t>For initial access, UE can determine the value of Q from PBCH reading. Once UE camps on the serving cell, the serving cell should signal the Q value to the UE via higher layer signaling for the UE to conduct measurements. As the serving cell may not have knowledge which cells are around the UE, it is unrealistic to ask the serving cell to provide the correct cell list and the Q values for all the cells in the cell list. And actually, in NR R15, smtc1 is carrier-specific rather than cell-specific. In other words, the configuration of smtc1 is applied to all cells on a carrier, not specifically to a cell. Hence, we further propose that Q should be carrier-specific that implies cells on a same carrier should have a same Q value.</w:t>
      </w:r>
    </w:p>
    <w:p w:rsidR="008E5C58" w:rsidRDefault="008E5C58" w:rsidP="008E5C58">
      <w:r>
        <w:t>T</w:t>
      </w:r>
      <w:r w:rsidRPr="008E5C58">
        <w:t>o reduce</w:t>
      </w:r>
      <w:r>
        <w:t xml:space="preserve"> </w:t>
      </w:r>
      <w:r w:rsidRPr="008E5C58">
        <w:t xml:space="preserve">Type0-PDCCH </w:t>
      </w:r>
      <w:r>
        <w:t xml:space="preserve">monitoring efforts at the UE side, it is preferable that Q is indicated to the UE via PBCH at least for initial access. </w:t>
      </w:r>
      <w:r>
        <w:t xml:space="preserve">The reason is that </w:t>
      </w:r>
      <w:r w:rsidRPr="008E5C58">
        <w:t>in practice UE is likely to decode SS/PBCH using one DRS transmission and decode RMSI us</w:t>
      </w:r>
      <w:r>
        <w:t>in</w:t>
      </w:r>
      <w:r w:rsidR="001D355D">
        <w:t xml:space="preserve">g another one in a later stage. </w:t>
      </w:r>
    </w:p>
    <w:p w:rsidR="008E5C58" w:rsidRDefault="008E5C58" w:rsidP="008E5C58">
      <w:pPr>
        <w:pStyle w:val="Caption"/>
      </w:pPr>
      <w:bookmarkStart w:id="3" w:name="_Ref21422777"/>
      <w:r>
        <w:t xml:space="preserve">Proposal </w:t>
      </w:r>
      <w:fldSimple w:instr=" SEQ Proposal \* ARABIC ">
        <w:r w:rsidR="00362242">
          <w:rPr>
            <w:noProof/>
          </w:rPr>
          <w:t>2</w:t>
        </w:r>
      </w:fldSimple>
      <w:r>
        <w:t>: The one-bit Q value is carried by PBCH instead of RMSI.</w:t>
      </w:r>
      <w:bookmarkEnd w:id="3"/>
      <w:r>
        <w:t xml:space="preserve"> </w:t>
      </w:r>
    </w:p>
    <w:p w:rsidR="00152487" w:rsidRDefault="001D355D" w:rsidP="002742F7">
      <w:r>
        <w:t xml:space="preserve">As to the signaling of Q for RRM measurement, </w:t>
      </w:r>
      <w:r w:rsidR="008B38CE">
        <w:t>i</w:t>
      </w:r>
      <w:r w:rsidR="008B38CE" w:rsidRPr="008B38CE">
        <w:t xml:space="preserve">n NR R15, the primary measurement timing configuration (smtc1) is carrier-specific without a cell list. A list of cell IDs is only provided in smtc2 which is the secondary measurement timing configuration. </w:t>
      </w:r>
      <w:r w:rsidR="00152487">
        <w:t>In practice, a</w:t>
      </w:r>
      <w:r w:rsidR="00152487">
        <w:t>s the serving cell may not have knowledge which cells are around the UE, it is unrealistic to ask the serving cell to provide the correct cell list and the Q values for all the cells in the cell list.</w:t>
      </w:r>
      <w:r w:rsidR="00152487">
        <w:t xml:space="preserve"> </w:t>
      </w:r>
      <w:r w:rsidR="000D75C8" w:rsidRPr="000D75C8">
        <w:t xml:space="preserve">Our understanding is that in R15, cell reselection configuration for idle/inactive UEs is carried by SIB2, SIB3, and SIB4.  As to </w:t>
      </w:r>
      <w:r w:rsidR="006C7E53">
        <w:t>RRC_CONNECTED</w:t>
      </w:r>
      <w:r w:rsidR="000D75C8" w:rsidRPr="000D75C8">
        <w:t xml:space="preserve"> UEs, the configuration can be signaled via dedicated signaling. Though SIB2/3/4 are broadcast, they are still via RRC.</w:t>
      </w:r>
      <w:r w:rsidR="000D75C8">
        <w:t xml:space="preserve"> </w:t>
      </w:r>
      <w:r w:rsidR="000D75C8" w:rsidRPr="000D75C8">
        <w:t xml:space="preserve">Having said the above, we </w:t>
      </w:r>
      <w:r w:rsidR="00CA3161">
        <w:t>have the following</w:t>
      </w:r>
      <w:r w:rsidR="000D75C8" w:rsidRPr="000D75C8">
        <w:t xml:space="preserve"> proposal</w:t>
      </w:r>
      <w:r w:rsidR="00CA3161">
        <w:t>s.</w:t>
      </w:r>
    </w:p>
    <w:p w:rsidR="00152487" w:rsidRDefault="00152487" w:rsidP="00152487">
      <w:pPr>
        <w:pStyle w:val="Caption"/>
      </w:pPr>
      <w:bookmarkStart w:id="4" w:name="_Ref21422784"/>
      <w:r>
        <w:t xml:space="preserve">Proposal </w:t>
      </w:r>
      <w:fldSimple w:instr=" SEQ Proposal \* ARABIC ">
        <w:r w:rsidR="00362242">
          <w:rPr>
            <w:noProof/>
          </w:rPr>
          <w:t>3</w:t>
        </w:r>
      </w:fldSimple>
      <w:r>
        <w:t xml:space="preserve">: </w:t>
      </w:r>
      <w:r w:rsidRPr="00152487">
        <w:t xml:space="preserve">For RRM measurement, Q is carrier-specific </w:t>
      </w:r>
      <w:r w:rsidR="00D217A7" w:rsidRPr="00114D51">
        <w:t>i.e. a same Q va</w:t>
      </w:r>
      <w:r w:rsidR="00D217A7">
        <w:t>lue for cells on a same carrier</w:t>
      </w:r>
      <w:r w:rsidRPr="00152487">
        <w:t>.</w:t>
      </w:r>
      <w:bookmarkEnd w:id="4"/>
    </w:p>
    <w:p w:rsidR="00CA3161" w:rsidRPr="00152487" w:rsidRDefault="00CA3161" w:rsidP="00CA3161">
      <w:pPr>
        <w:pStyle w:val="Caption"/>
      </w:pPr>
      <w:bookmarkStart w:id="5" w:name="_Ref21422791"/>
      <w:r w:rsidRPr="00152487">
        <w:t xml:space="preserve">Proposal </w:t>
      </w:r>
      <w:fldSimple w:instr=" SEQ Proposal \* ARABIC ">
        <w:r w:rsidR="00362242">
          <w:rPr>
            <w:noProof/>
          </w:rPr>
          <w:t>4</w:t>
        </w:r>
      </w:fldSimple>
      <w:r w:rsidRPr="00152487">
        <w:t>:</w:t>
      </w:r>
      <w:r w:rsidR="000D75C8" w:rsidRPr="00152487">
        <w:t xml:space="preserve"> For RRM measure</w:t>
      </w:r>
      <w:r w:rsidR="00152487">
        <w:t>ment</w:t>
      </w:r>
      <w:r w:rsidR="00752036">
        <w:t xml:space="preserve"> of </w:t>
      </w:r>
      <w:r w:rsidR="00752036">
        <w:t>neighboring cell</w:t>
      </w:r>
      <w:r w:rsidR="00752036">
        <w:t>s</w:t>
      </w:r>
      <w:r w:rsidR="00152487">
        <w:t xml:space="preserve">, Q </w:t>
      </w:r>
      <w:r w:rsidR="000D75C8" w:rsidRPr="00152487">
        <w:t xml:space="preserve">is indicated </w:t>
      </w:r>
      <w:r w:rsidR="00BE34FA" w:rsidRPr="00152487">
        <w:t xml:space="preserve">to UE </w:t>
      </w:r>
      <w:r w:rsidR="000D75C8" w:rsidRPr="00152487">
        <w:t>by RRC signaling.</w:t>
      </w:r>
      <w:bookmarkEnd w:id="5"/>
    </w:p>
    <w:p w:rsidR="00152487" w:rsidRPr="00152487" w:rsidRDefault="00152487" w:rsidP="00152487">
      <w:pPr>
        <w:pStyle w:val="ListParagraph"/>
        <w:numPr>
          <w:ilvl w:val="0"/>
          <w:numId w:val="44"/>
        </w:numPr>
        <w:ind w:firstLineChars="0"/>
        <w:rPr>
          <w:b/>
          <w:sz w:val="20"/>
          <w:szCs w:val="20"/>
        </w:rPr>
      </w:pPr>
      <w:r w:rsidRPr="00152487">
        <w:rPr>
          <w:b/>
          <w:sz w:val="20"/>
          <w:szCs w:val="20"/>
        </w:rPr>
        <w:t xml:space="preserve">Indicate Q to IDLE/INACTIVE UEs via cell reselection configuration in SIB2/SIB3/SIB4. </w:t>
      </w:r>
    </w:p>
    <w:p w:rsidR="00152487" w:rsidRPr="00152487" w:rsidRDefault="00152487" w:rsidP="00152487">
      <w:pPr>
        <w:pStyle w:val="ListParagraph"/>
        <w:numPr>
          <w:ilvl w:val="0"/>
          <w:numId w:val="44"/>
        </w:numPr>
        <w:ind w:firstLineChars="0"/>
        <w:rPr>
          <w:b/>
          <w:sz w:val="20"/>
          <w:szCs w:val="20"/>
        </w:rPr>
      </w:pPr>
      <w:r w:rsidRPr="00152487">
        <w:rPr>
          <w:b/>
          <w:sz w:val="20"/>
          <w:szCs w:val="20"/>
        </w:rPr>
        <w:t xml:space="preserve">Indicate Q to CONNECTED UEs via dedicated signaling. </w:t>
      </w:r>
    </w:p>
    <w:p w:rsidR="00152487" w:rsidRPr="00152487" w:rsidRDefault="00152487" w:rsidP="00152487">
      <w:r>
        <w:t xml:space="preserve"> </w:t>
      </w:r>
    </w:p>
    <w:p w:rsidR="00DE4EE3" w:rsidRDefault="005A68DC" w:rsidP="003063AE">
      <w:pPr>
        <w:pStyle w:val="Heading1"/>
        <w:rPr>
          <w:lang w:eastAsia="zh-CN"/>
        </w:rPr>
      </w:pPr>
      <w:r>
        <w:rPr>
          <w:lang w:eastAsia="zh-CN"/>
        </w:rPr>
        <w:t>Type0-</w:t>
      </w:r>
      <w:r w:rsidR="00951416">
        <w:rPr>
          <w:lang w:eastAsia="zh-CN"/>
        </w:rPr>
        <w:t>PDCCH Monitoring</w:t>
      </w:r>
      <w:r w:rsidR="00DD746C">
        <w:rPr>
          <w:lang w:eastAsia="zh-CN"/>
        </w:rPr>
        <w:t xml:space="preserve"> </w:t>
      </w:r>
    </w:p>
    <w:p w:rsidR="00E83327" w:rsidRPr="00E83327" w:rsidRDefault="00E05261" w:rsidP="00E83327">
      <w:pPr>
        <w:rPr>
          <w:lang w:val="en-GB" w:eastAsia="zh-CN"/>
        </w:rPr>
      </w:pPr>
      <w:r>
        <w:rPr>
          <w:lang w:val="en-GB" w:eastAsia="zh-CN"/>
        </w:rPr>
        <w:t xml:space="preserve">The following agreements have been made about Type0-PDCCH </w:t>
      </w:r>
      <w:r w:rsidR="005516BA">
        <w:rPr>
          <w:lang w:val="en-GB" w:eastAsia="zh-CN"/>
        </w:rPr>
        <w:t>monitoring</w:t>
      </w:r>
      <w:r>
        <w:rPr>
          <w:lang w:val="en-GB" w:eastAsia="zh-CN"/>
        </w:rPr>
        <w:t xml:space="preserve">. </w:t>
      </w:r>
    </w:p>
    <w:tbl>
      <w:tblPr>
        <w:tblStyle w:val="TableGrid"/>
        <w:tblW w:w="0" w:type="auto"/>
        <w:tblLook w:val="04A0" w:firstRow="1" w:lastRow="0" w:firstColumn="1" w:lastColumn="0" w:noHBand="0" w:noVBand="1"/>
      </w:tblPr>
      <w:tblGrid>
        <w:gridCol w:w="9631"/>
      </w:tblGrid>
      <w:tr w:rsidR="002819E0" w:rsidRPr="002C3037" w:rsidTr="002819E0">
        <w:tc>
          <w:tcPr>
            <w:tcW w:w="9631" w:type="dxa"/>
          </w:tcPr>
          <w:p w:rsidR="002819E0" w:rsidRPr="002C3037" w:rsidRDefault="002819E0" w:rsidP="002819E0">
            <w:pPr>
              <w:rPr>
                <w:rFonts w:ascii="Times New Roman" w:hAnsi="Times New Roman"/>
                <w:lang w:eastAsia="x-none"/>
              </w:rPr>
            </w:pPr>
            <w:r w:rsidRPr="002C3037">
              <w:rPr>
                <w:rFonts w:ascii="Times New Roman" w:hAnsi="Times New Roman"/>
                <w:highlight w:val="green"/>
                <w:lang w:eastAsia="x-none"/>
              </w:rPr>
              <w:t>Agreement:</w:t>
            </w:r>
            <w:r w:rsidRPr="002C3037">
              <w:rPr>
                <w:rFonts w:ascii="Times New Roman" w:hAnsi="Times New Roman"/>
                <w:lang w:eastAsia="x-none"/>
              </w:rPr>
              <w:t xml:space="preserve"> (Ad-hoc 1901)</w:t>
            </w:r>
          </w:p>
          <w:p w:rsidR="002819E0" w:rsidRPr="002C3037" w:rsidRDefault="002819E0" w:rsidP="002819E0">
            <w:pPr>
              <w:rPr>
                <w:rFonts w:ascii="Times New Roman" w:hAnsi="Times New Roman"/>
                <w:lang w:eastAsia="x-none"/>
              </w:rPr>
            </w:pPr>
            <w:r w:rsidRPr="002C3037">
              <w:rPr>
                <w:rFonts w:ascii="Times New Roman" w:hAnsi="Times New Roman"/>
                <w:lang w:eastAsia="x-none"/>
              </w:rPr>
              <w:t>The Type0-PDCCH monitoring configuration for NR-U should satisfy at least the following properties:</w:t>
            </w:r>
          </w:p>
          <w:p w:rsidR="002819E0" w:rsidRPr="002C3037" w:rsidRDefault="002819E0" w:rsidP="002819E0">
            <w:pPr>
              <w:numPr>
                <w:ilvl w:val="0"/>
                <w:numId w:val="27"/>
              </w:numPr>
              <w:overflowPunct/>
              <w:autoSpaceDE/>
              <w:autoSpaceDN/>
              <w:adjustRightInd/>
              <w:spacing w:after="0"/>
              <w:textAlignment w:val="auto"/>
              <w:rPr>
                <w:rFonts w:ascii="Times New Roman" w:hAnsi="Times New Roman"/>
                <w:lang w:eastAsia="x-none"/>
              </w:rPr>
            </w:pPr>
            <w:r w:rsidRPr="002C3037">
              <w:rPr>
                <w:rFonts w:ascii="Times New Roman" w:hAnsi="Times New Roman"/>
                <w:lang w:eastAsia="x-none"/>
              </w:rPr>
              <w:t>TDM of Type0-PDCCH and SSB similar to existing pattern 1 (already agreed)</w:t>
            </w:r>
          </w:p>
          <w:p w:rsidR="002819E0" w:rsidRPr="002C3037" w:rsidRDefault="002819E0" w:rsidP="002819E0">
            <w:pPr>
              <w:numPr>
                <w:ilvl w:val="0"/>
                <w:numId w:val="27"/>
              </w:numPr>
              <w:overflowPunct/>
              <w:autoSpaceDE/>
              <w:autoSpaceDN/>
              <w:adjustRightInd/>
              <w:spacing w:after="0"/>
              <w:textAlignment w:val="auto"/>
              <w:rPr>
                <w:rFonts w:ascii="Times New Roman" w:hAnsi="Times New Roman"/>
                <w:lang w:eastAsia="x-none"/>
              </w:rPr>
            </w:pPr>
            <w:r w:rsidRPr="002C3037">
              <w:rPr>
                <w:rFonts w:ascii="Times New Roman" w:hAnsi="Times New Roman"/>
                <w:lang w:eastAsia="x-none"/>
              </w:rPr>
              <w:t>Support the monitoring of Type0 PDCCH of the 2</w:t>
            </w:r>
            <w:r w:rsidRPr="002C3037">
              <w:rPr>
                <w:rFonts w:ascii="Times New Roman" w:hAnsi="Times New Roman"/>
                <w:vertAlign w:val="superscript"/>
                <w:lang w:eastAsia="x-none"/>
              </w:rPr>
              <w:t>nd</w:t>
            </w:r>
            <w:r w:rsidRPr="002C3037">
              <w:rPr>
                <w:rFonts w:ascii="Times New Roman" w:hAnsi="Times New Roman"/>
                <w:lang w:eastAsia="x-none"/>
              </w:rPr>
              <w:t xml:space="preserve"> SSB position in a slot in the gap between 1</w:t>
            </w:r>
            <w:r w:rsidRPr="002C3037">
              <w:rPr>
                <w:rFonts w:ascii="Times New Roman" w:hAnsi="Times New Roman"/>
                <w:vertAlign w:val="superscript"/>
                <w:lang w:eastAsia="x-none"/>
              </w:rPr>
              <w:t>st</w:t>
            </w:r>
            <w:r w:rsidRPr="002C3037">
              <w:rPr>
                <w:rFonts w:ascii="Times New Roman" w:hAnsi="Times New Roman"/>
                <w:lang w:eastAsia="x-none"/>
              </w:rPr>
              <w:t xml:space="preserve"> and 2</w:t>
            </w:r>
            <w:r w:rsidRPr="002C3037">
              <w:rPr>
                <w:rFonts w:ascii="Times New Roman" w:hAnsi="Times New Roman"/>
                <w:vertAlign w:val="superscript"/>
                <w:lang w:eastAsia="x-none"/>
              </w:rPr>
              <w:t>nd</w:t>
            </w:r>
            <w:r w:rsidRPr="002C3037">
              <w:rPr>
                <w:rFonts w:ascii="Times New Roman" w:hAnsi="Times New Roman"/>
                <w:lang w:eastAsia="x-none"/>
              </w:rPr>
              <w:t xml:space="preserve"> SSB within the slot</w:t>
            </w:r>
          </w:p>
          <w:p w:rsidR="002819E0" w:rsidRPr="002C3037" w:rsidRDefault="002819E0" w:rsidP="002819E0">
            <w:pPr>
              <w:numPr>
                <w:ilvl w:val="1"/>
                <w:numId w:val="27"/>
              </w:numPr>
              <w:overflowPunct/>
              <w:autoSpaceDE/>
              <w:autoSpaceDN/>
              <w:adjustRightInd/>
              <w:spacing w:after="0"/>
              <w:textAlignment w:val="auto"/>
              <w:rPr>
                <w:rFonts w:ascii="Times New Roman" w:hAnsi="Times New Roman"/>
                <w:lang w:eastAsia="x-none"/>
              </w:rPr>
            </w:pPr>
            <w:r w:rsidRPr="002C3037">
              <w:rPr>
                <w:rFonts w:ascii="Times New Roman" w:hAnsi="Times New Roman"/>
                <w:lang w:eastAsia="x-none"/>
              </w:rPr>
              <w:t>FFS start at symbol #6 of #7 or both</w:t>
            </w:r>
          </w:p>
          <w:p w:rsidR="002819E0" w:rsidRPr="002C3037" w:rsidRDefault="002819E0" w:rsidP="002819E0">
            <w:pPr>
              <w:numPr>
                <w:ilvl w:val="0"/>
                <w:numId w:val="27"/>
              </w:numPr>
              <w:overflowPunct/>
              <w:autoSpaceDE/>
              <w:autoSpaceDN/>
              <w:adjustRightInd/>
              <w:spacing w:after="0"/>
              <w:textAlignment w:val="auto"/>
              <w:rPr>
                <w:rFonts w:ascii="Times New Roman" w:hAnsi="Times New Roman"/>
                <w:lang w:eastAsia="x-none"/>
              </w:rPr>
            </w:pPr>
            <w:r w:rsidRPr="002C3037">
              <w:rPr>
                <w:rFonts w:ascii="Times New Roman" w:hAnsi="Times New Roman"/>
                <w:lang w:eastAsia="x-none"/>
              </w:rPr>
              <w:t>FFS: The Type0-PDCCH candidates associated with an SSB are confined within a slot carrying the associated SSB (with the same QCL assumptions)</w:t>
            </w:r>
          </w:p>
        </w:tc>
      </w:tr>
    </w:tbl>
    <w:p w:rsidR="002819E0" w:rsidRDefault="002819E0" w:rsidP="002819E0">
      <w:pPr>
        <w:rPr>
          <w:lang w:val="en-GB" w:eastAsia="zh-CN"/>
        </w:rPr>
      </w:pPr>
    </w:p>
    <w:tbl>
      <w:tblPr>
        <w:tblStyle w:val="TableGrid"/>
        <w:tblW w:w="0" w:type="auto"/>
        <w:tblLook w:val="04A0" w:firstRow="1" w:lastRow="0" w:firstColumn="1" w:lastColumn="0" w:noHBand="0" w:noVBand="1"/>
      </w:tblPr>
      <w:tblGrid>
        <w:gridCol w:w="9631"/>
      </w:tblGrid>
      <w:tr w:rsidR="00242867" w:rsidRPr="002C3037" w:rsidTr="006624BD">
        <w:trPr>
          <w:trHeight w:val="1237"/>
        </w:trPr>
        <w:tc>
          <w:tcPr>
            <w:tcW w:w="9631" w:type="dxa"/>
          </w:tcPr>
          <w:p w:rsidR="00242867" w:rsidRPr="002C3037" w:rsidRDefault="00242867" w:rsidP="00242867">
            <w:pPr>
              <w:rPr>
                <w:rFonts w:ascii="Times New Roman" w:hAnsi="Times New Roman"/>
                <w:lang w:eastAsia="x-none"/>
              </w:rPr>
            </w:pPr>
            <w:r w:rsidRPr="002C3037">
              <w:rPr>
                <w:rFonts w:ascii="Times New Roman" w:hAnsi="Times New Roman"/>
                <w:highlight w:val="green"/>
                <w:lang w:eastAsia="x-none"/>
              </w:rPr>
              <w:lastRenderedPageBreak/>
              <w:t>Agreement:</w:t>
            </w:r>
            <w:r w:rsidR="00FE7F2A" w:rsidRPr="002C3037">
              <w:rPr>
                <w:rFonts w:ascii="Times New Roman" w:hAnsi="Times New Roman"/>
                <w:lang w:eastAsia="x-none"/>
              </w:rPr>
              <w:t xml:space="preserve"> (RAN1 #96)</w:t>
            </w:r>
          </w:p>
          <w:p w:rsidR="00242867" w:rsidRPr="002C3037" w:rsidRDefault="00242867" w:rsidP="00242867">
            <w:pPr>
              <w:numPr>
                <w:ilvl w:val="0"/>
                <w:numId w:val="27"/>
              </w:numPr>
              <w:overflowPunct/>
              <w:autoSpaceDE/>
              <w:autoSpaceDN/>
              <w:adjustRightInd/>
              <w:spacing w:after="0"/>
              <w:textAlignment w:val="auto"/>
              <w:rPr>
                <w:rFonts w:ascii="Times New Roman" w:hAnsi="Times New Roman"/>
                <w:lang w:eastAsia="x-none"/>
              </w:rPr>
            </w:pPr>
            <w:r w:rsidRPr="002C3037">
              <w:rPr>
                <w:rFonts w:ascii="Times New Roman" w:hAnsi="Times New Roman"/>
                <w:lang w:eastAsia="x-none"/>
              </w:rPr>
              <w:t xml:space="preserve">The SCS for all SSBs and </w:t>
            </w:r>
            <w:proofErr w:type="spellStart"/>
            <w:r w:rsidRPr="002C3037">
              <w:rPr>
                <w:rFonts w:ascii="Times New Roman" w:hAnsi="Times New Roman"/>
                <w:lang w:eastAsia="x-none"/>
              </w:rPr>
              <w:t>Coreset</w:t>
            </w:r>
            <w:proofErr w:type="spellEnd"/>
            <w:r w:rsidRPr="002C3037">
              <w:rPr>
                <w:rFonts w:ascii="Times New Roman" w:hAnsi="Times New Roman"/>
                <w:lang w:eastAsia="x-none"/>
              </w:rPr>
              <w:t xml:space="preserve"> #0 on a carrier is always the same for operation of NR in unlicensed spectrum.</w:t>
            </w:r>
          </w:p>
          <w:p w:rsidR="00242867" w:rsidRPr="002C3037" w:rsidRDefault="00242867" w:rsidP="002819E0">
            <w:pPr>
              <w:numPr>
                <w:ilvl w:val="0"/>
                <w:numId w:val="27"/>
              </w:numPr>
              <w:overflowPunct/>
              <w:autoSpaceDE/>
              <w:autoSpaceDN/>
              <w:adjustRightInd/>
              <w:spacing w:after="0"/>
              <w:textAlignment w:val="auto"/>
              <w:rPr>
                <w:rFonts w:ascii="Times New Roman" w:hAnsi="Times New Roman"/>
                <w:lang w:eastAsia="x-none"/>
              </w:rPr>
            </w:pPr>
            <w:r w:rsidRPr="002C3037">
              <w:rPr>
                <w:rFonts w:ascii="Times New Roman" w:hAnsi="Times New Roman"/>
                <w:lang w:eastAsia="x-none"/>
              </w:rPr>
              <w:t>CORESET #0 frequency domain resource configuration should be 48 RBs for 30KHz SCS and 96 RBs for 15KHz SCS.</w:t>
            </w:r>
          </w:p>
        </w:tc>
      </w:tr>
    </w:tbl>
    <w:p w:rsidR="00242867" w:rsidRPr="002819E0" w:rsidRDefault="00242867" w:rsidP="002819E0">
      <w:pPr>
        <w:rPr>
          <w:lang w:val="en-GB" w:eastAsia="zh-CN"/>
        </w:rPr>
      </w:pPr>
    </w:p>
    <w:tbl>
      <w:tblPr>
        <w:tblStyle w:val="TableGrid"/>
        <w:tblW w:w="0" w:type="auto"/>
        <w:tblLook w:val="04A0" w:firstRow="1" w:lastRow="0" w:firstColumn="1" w:lastColumn="0" w:noHBand="0" w:noVBand="1"/>
      </w:tblPr>
      <w:tblGrid>
        <w:gridCol w:w="9631"/>
      </w:tblGrid>
      <w:tr w:rsidR="00281F96" w:rsidRPr="002C3037" w:rsidTr="00281F96">
        <w:tc>
          <w:tcPr>
            <w:tcW w:w="9631" w:type="dxa"/>
          </w:tcPr>
          <w:p w:rsidR="00281F96" w:rsidRPr="002C3037" w:rsidRDefault="00281F96" w:rsidP="00281F96">
            <w:pPr>
              <w:rPr>
                <w:rFonts w:ascii="Times New Roman" w:hAnsi="Times New Roman"/>
                <w:lang w:eastAsia="x-none"/>
              </w:rPr>
            </w:pPr>
            <w:r w:rsidRPr="002C3037">
              <w:rPr>
                <w:rFonts w:ascii="Times New Roman" w:hAnsi="Times New Roman"/>
                <w:highlight w:val="green"/>
                <w:lang w:eastAsia="x-none"/>
              </w:rPr>
              <w:t>Agreement:</w:t>
            </w:r>
          </w:p>
          <w:p w:rsidR="00281F96" w:rsidRPr="002C3037" w:rsidRDefault="00281F96" w:rsidP="00BA23E7">
            <w:pPr>
              <w:rPr>
                <w:rFonts w:ascii="Times New Roman" w:hAnsi="Times New Roman"/>
                <w:lang w:eastAsia="x-none"/>
              </w:rPr>
            </w:pPr>
            <w:r w:rsidRPr="002C3037">
              <w:rPr>
                <w:rFonts w:ascii="Times New Roman" w:hAnsi="Times New Roman"/>
                <w:lang w:eastAsia="x-none"/>
              </w:rPr>
              <w:t xml:space="preserve">Only </w:t>
            </w:r>
            <w:proofErr w:type="spellStart"/>
            <w:r w:rsidR="006A6456" w:rsidRPr="002C3037">
              <w:rPr>
                <w:rFonts w:ascii="Times New Roman" w:hAnsi="Times New Roman"/>
                <w:lang w:eastAsia="x-none"/>
              </w:rPr>
              <w:t>C</w:t>
            </w:r>
            <w:r w:rsidRPr="002C3037">
              <w:rPr>
                <w:rFonts w:ascii="Times New Roman" w:hAnsi="Times New Roman"/>
                <w:lang w:eastAsia="x-none"/>
              </w:rPr>
              <w:t>oreset</w:t>
            </w:r>
            <w:proofErr w:type="spellEnd"/>
            <w:r w:rsidRPr="002C3037">
              <w:rPr>
                <w:rFonts w:ascii="Times New Roman" w:hAnsi="Times New Roman"/>
                <w:lang w:eastAsia="x-none"/>
              </w:rPr>
              <w:t xml:space="preserve"> #0 lengths of 1 and 2 symbols are supported for NR-U</w:t>
            </w:r>
          </w:p>
        </w:tc>
      </w:tr>
    </w:tbl>
    <w:p w:rsidR="009C2899" w:rsidRDefault="009C2899" w:rsidP="009C2899"/>
    <w:tbl>
      <w:tblPr>
        <w:tblStyle w:val="TableGrid"/>
        <w:tblW w:w="0" w:type="auto"/>
        <w:tblLook w:val="04A0" w:firstRow="1" w:lastRow="0" w:firstColumn="1" w:lastColumn="0" w:noHBand="0" w:noVBand="1"/>
      </w:tblPr>
      <w:tblGrid>
        <w:gridCol w:w="9631"/>
      </w:tblGrid>
      <w:tr w:rsidR="00E34957" w:rsidTr="00E34957">
        <w:tc>
          <w:tcPr>
            <w:tcW w:w="9631" w:type="dxa"/>
          </w:tcPr>
          <w:p w:rsidR="00E34957" w:rsidRPr="00156FFA" w:rsidRDefault="00E34957" w:rsidP="00E34957">
            <w:pPr>
              <w:rPr>
                <w:rFonts w:ascii="Times New Roman" w:hAnsi="Times New Roman"/>
                <w:lang w:eastAsia="zh-CN"/>
              </w:rPr>
            </w:pPr>
            <w:r w:rsidRPr="00156FFA">
              <w:rPr>
                <w:rFonts w:ascii="Times New Roman" w:hAnsi="Times New Roman"/>
                <w:highlight w:val="green"/>
                <w:lang w:eastAsia="zh-CN"/>
              </w:rPr>
              <w:t>Agreement:</w:t>
            </w:r>
            <w:r w:rsidRPr="00156FFA">
              <w:rPr>
                <w:rFonts w:ascii="Times New Roman" w:hAnsi="Times New Roman"/>
                <w:lang w:eastAsia="zh-CN"/>
              </w:rPr>
              <w:t xml:space="preserve"> (RAN4 #92 meeting, 1908)</w:t>
            </w:r>
          </w:p>
          <w:p w:rsidR="00E34957" w:rsidRPr="00156FFA" w:rsidRDefault="00E34957" w:rsidP="00E34957">
            <w:pPr>
              <w:rPr>
                <w:rFonts w:ascii="Times New Roman" w:hAnsi="Times New Roman"/>
                <w:lang w:eastAsia="zh-CN"/>
              </w:rPr>
            </w:pPr>
            <w:r w:rsidRPr="00156FFA">
              <w:rPr>
                <w:rFonts w:ascii="Times New Roman" w:hAnsi="Times New Roman"/>
                <w:lang w:eastAsia="zh-CN"/>
              </w:rPr>
              <w:t xml:space="preserve">RAN4 agreed to place the SSB close to the </w:t>
            </w:r>
            <w:r w:rsidRPr="00156FFA">
              <w:rPr>
                <w:rFonts w:ascii="Times New Roman" w:hAnsi="Times New Roman"/>
                <w:highlight w:val="green"/>
                <w:lang w:eastAsia="zh-CN"/>
              </w:rPr>
              <w:t>edge</w:t>
            </w:r>
            <w:r w:rsidRPr="00156FFA">
              <w:rPr>
                <w:rFonts w:ascii="Times New Roman" w:hAnsi="Times New Roman"/>
                <w:lang w:eastAsia="zh-CN"/>
              </w:rPr>
              <w:t xml:space="preserve"> of sub-bands </w:t>
            </w:r>
          </w:p>
          <w:p w:rsidR="00E34957" w:rsidRPr="00156FFA" w:rsidRDefault="00E34957" w:rsidP="00E34957">
            <w:pPr>
              <w:rPr>
                <w:rFonts w:ascii="Times New Roman" w:hAnsi="Times New Roman"/>
                <w:lang w:eastAsia="zh-CN"/>
              </w:rPr>
            </w:pPr>
            <w:r w:rsidRPr="00156FFA">
              <w:rPr>
                <w:rFonts w:ascii="Times New Roman" w:hAnsi="Times New Roman"/>
                <w:lang w:eastAsia="zh-CN"/>
              </w:rPr>
              <w:t>RAN4 will continue discuss the detailed values of offset to the edge of sub-bands considering the adjacent channel interference</w:t>
            </w:r>
          </w:p>
          <w:p w:rsidR="00E34957" w:rsidRDefault="00E34957" w:rsidP="00E34957">
            <w:r w:rsidRPr="00156FFA">
              <w:rPr>
                <w:rFonts w:ascii="Times New Roman" w:hAnsi="Times New Roman"/>
                <w:lang w:eastAsia="zh-CN"/>
              </w:rPr>
              <w:t xml:space="preserve">RAN4 agreed to introduce </w:t>
            </w:r>
            <w:r w:rsidRPr="00156FFA">
              <w:rPr>
                <w:rFonts w:ascii="Times New Roman" w:hAnsi="Times New Roman"/>
                <w:highlight w:val="green"/>
                <w:lang w:eastAsia="zh-CN"/>
              </w:rPr>
              <w:t>single default sync raster</w:t>
            </w:r>
            <w:r w:rsidRPr="00156FFA">
              <w:rPr>
                <w:rFonts w:ascii="Times New Roman" w:hAnsi="Times New Roman"/>
                <w:lang w:eastAsia="zh-CN"/>
              </w:rPr>
              <w:t xml:space="preserve"> for each sub-band </w:t>
            </w:r>
          </w:p>
        </w:tc>
      </w:tr>
    </w:tbl>
    <w:p w:rsidR="009C2899" w:rsidRDefault="009C2899" w:rsidP="009C2899"/>
    <w:tbl>
      <w:tblPr>
        <w:tblStyle w:val="TableGrid"/>
        <w:tblW w:w="0" w:type="auto"/>
        <w:tblLook w:val="04A0" w:firstRow="1" w:lastRow="0" w:firstColumn="1" w:lastColumn="0" w:noHBand="0" w:noVBand="1"/>
      </w:tblPr>
      <w:tblGrid>
        <w:gridCol w:w="9631"/>
      </w:tblGrid>
      <w:tr w:rsidR="00011430" w:rsidRPr="00011430" w:rsidTr="00011430">
        <w:tc>
          <w:tcPr>
            <w:tcW w:w="9631" w:type="dxa"/>
          </w:tcPr>
          <w:p w:rsidR="00011430" w:rsidRPr="00011430" w:rsidRDefault="00011430" w:rsidP="00011430">
            <w:pPr>
              <w:spacing w:line="276" w:lineRule="auto"/>
              <w:jc w:val="both"/>
              <w:rPr>
                <w:rFonts w:ascii="Times New Roman" w:hAnsi="Times New Roman"/>
              </w:rPr>
            </w:pPr>
            <w:r w:rsidRPr="00011430">
              <w:rPr>
                <w:rFonts w:ascii="Times New Roman" w:hAnsi="Times New Roman"/>
                <w:highlight w:val="green"/>
              </w:rPr>
              <w:t>Agreement:</w:t>
            </w:r>
            <w:r w:rsidRPr="00011430">
              <w:rPr>
                <w:rFonts w:ascii="Times New Roman" w:hAnsi="Times New Roman"/>
              </w:rPr>
              <w:t xml:space="preserve"> (RAN1 #98 1908)</w:t>
            </w:r>
          </w:p>
          <w:p w:rsidR="00011430" w:rsidRPr="00011430" w:rsidRDefault="00011430" w:rsidP="00011430">
            <w:pPr>
              <w:spacing w:line="276" w:lineRule="auto"/>
              <w:jc w:val="both"/>
              <w:rPr>
                <w:rFonts w:ascii="Times New Roman" w:hAnsi="Times New Roman"/>
              </w:rPr>
            </w:pPr>
            <w:r w:rsidRPr="00011430">
              <w:rPr>
                <w:rFonts w:ascii="Times New Roman" w:hAnsi="Times New Roman"/>
              </w:rPr>
              <w:t>If Q is known, candidate monitoring slots for Type0 PDCCH search space are the PDCCH monitoring slots associated with SS/PBCH blocks that are QCL with the SS/PBCH block from which the UE determines that a CORESET for Type0-PDCCH CSS set is present</w:t>
            </w:r>
          </w:p>
          <w:p w:rsidR="00011430" w:rsidRPr="00011430" w:rsidRDefault="00011430" w:rsidP="009C2899">
            <w:pPr>
              <w:pStyle w:val="ListParagraph"/>
              <w:numPr>
                <w:ilvl w:val="0"/>
                <w:numId w:val="42"/>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011430">
              <w:rPr>
                <w:rFonts w:ascii="Times New Roman" w:hAnsi="Times New Roman"/>
                <w:sz w:val="20"/>
                <w:szCs w:val="20"/>
              </w:rPr>
              <w:t xml:space="preserve">Note: Q may be always known depending on where Q is </w:t>
            </w:r>
            <w:proofErr w:type="spellStart"/>
            <w:r w:rsidRPr="00011430">
              <w:rPr>
                <w:rFonts w:ascii="Times New Roman" w:hAnsi="Times New Roman"/>
                <w:sz w:val="20"/>
                <w:szCs w:val="20"/>
              </w:rPr>
              <w:t>signalled</w:t>
            </w:r>
            <w:proofErr w:type="spellEnd"/>
            <w:r w:rsidRPr="00011430">
              <w:rPr>
                <w:rFonts w:ascii="Times New Roman" w:hAnsi="Times New Roman"/>
                <w:sz w:val="20"/>
                <w:szCs w:val="20"/>
              </w:rPr>
              <w:t>. This aspect is to be discussed further.</w:t>
            </w:r>
          </w:p>
        </w:tc>
      </w:tr>
    </w:tbl>
    <w:p w:rsidR="00961722" w:rsidRPr="009C2899" w:rsidRDefault="00961722" w:rsidP="009C2899"/>
    <w:p w:rsidR="00EE3DFA" w:rsidRDefault="00EE3DFA" w:rsidP="00EE3DFA">
      <w:pPr>
        <w:pStyle w:val="Caption"/>
        <w:rPr>
          <w:b w:val="0"/>
        </w:rPr>
      </w:pPr>
      <w:r>
        <w:rPr>
          <w:b w:val="0"/>
        </w:rPr>
        <w:t xml:space="preserve">In NR R15, CORESET and search space configurations for Type0-PDCCH can be configurable and indicated by PBCH. In NR-U, we think a similar mechanism should be supported for Type0-PDCCH configuration. </w:t>
      </w:r>
    </w:p>
    <w:p w:rsidR="00EE3DFA" w:rsidRDefault="00EE3DFA" w:rsidP="00EE3DFA">
      <w:pPr>
        <w:pStyle w:val="Caption"/>
      </w:pPr>
      <w:bookmarkStart w:id="6" w:name="_Ref4680467"/>
      <w:bookmarkStart w:id="7" w:name="_Ref7697542"/>
      <w:r>
        <w:t xml:space="preserve">Proposal </w:t>
      </w:r>
      <w:r>
        <w:fldChar w:fldCharType="begin"/>
      </w:r>
      <w:r>
        <w:instrText xml:space="preserve"> SEQ Proposal \* ARABIC </w:instrText>
      </w:r>
      <w:r>
        <w:fldChar w:fldCharType="separate"/>
      </w:r>
      <w:r w:rsidR="00362242">
        <w:rPr>
          <w:noProof/>
        </w:rPr>
        <w:t>5</w:t>
      </w:r>
      <w:r>
        <w:fldChar w:fldCharType="end"/>
      </w:r>
      <w:r>
        <w:t>: Similar to NR, NR-U supports that both CORESET and search space configurations for Type-0 PDCCH are carried by PBCH</w:t>
      </w:r>
      <w:bookmarkEnd w:id="6"/>
      <w:r>
        <w:t>.</w:t>
      </w:r>
      <w:bookmarkEnd w:id="7"/>
    </w:p>
    <w:p w:rsidR="00EE3DFA" w:rsidRDefault="00EE3DFA" w:rsidP="00EE3DFA">
      <w:pPr>
        <w:pStyle w:val="Caption"/>
        <w:rPr>
          <w:b w:val="0"/>
        </w:rPr>
      </w:pPr>
      <w:r>
        <w:rPr>
          <w:b w:val="0"/>
        </w:rPr>
        <w:t xml:space="preserve">In the previous RAN4 meeting, it was decided that a single default sync raster would be introduced for each sub-band. Furthermore, it is placed in the edge of a sub-band. The exact placements of the default sync </w:t>
      </w:r>
      <w:proofErr w:type="spellStart"/>
      <w:r>
        <w:rPr>
          <w:b w:val="0"/>
        </w:rPr>
        <w:t>rasters</w:t>
      </w:r>
      <w:proofErr w:type="spellEnd"/>
      <w:r>
        <w:rPr>
          <w:b w:val="0"/>
        </w:rPr>
        <w:t xml:space="preserve"> command more RAN4 discussion and further decisions. The exact value(s) of PRB offset between CORESET#0 and SSBs would depend on the final placement of these sync </w:t>
      </w:r>
      <w:proofErr w:type="spellStart"/>
      <w:r>
        <w:rPr>
          <w:b w:val="0"/>
        </w:rPr>
        <w:t>rasters</w:t>
      </w:r>
      <w:proofErr w:type="spellEnd"/>
      <w:r>
        <w:rPr>
          <w:b w:val="0"/>
        </w:rPr>
        <w:t xml:space="preserve">. But one single value should be enough and can simply NR-U operation.   </w:t>
      </w:r>
    </w:p>
    <w:p w:rsidR="00EE3DFA" w:rsidRDefault="00EE3DFA" w:rsidP="00EE3DFA">
      <w:pPr>
        <w:pStyle w:val="Caption"/>
        <w:rPr>
          <w:color w:val="000000" w:themeColor="text1"/>
        </w:rPr>
      </w:pPr>
      <w:bookmarkStart w:id="8" w:name="_Ref16919274"/>
      <w:bookmarkStart w:id="9" w:name="_Ref21419961"/>
      <w:r>
        <w:t xml:space="preserve">Proposal </w:t>
      </w:r>
      <w:r>
        <w:fldChar w:fldCharType="begin"/>
      </w:r>
      <w:r>
        <w:instrText xml:space="preserve"> SEQ Proposal \* ARABIC </w:instrText>
      </w:r>
      <w:r>
        <w:fldChar w:fldCharType="separate"/>
      </w:r>
      <w:r w:rsidR="00362242">
        <w:rPr>
          <w:noProof/>
        </w:rPr>
        <w:t>6</w:t>
      </w:r>
      <w:r>
        <w:fldChar w:fldCharType="end"/>
      </w:r>
      <w:r>
        <w:t>: For each subcarrier spacing</w:t>
      </w:r>
      <w:r>
        <w:rPr>
          <w:color w:val="000000" w:themeColor="text1"/>
        </w:rPr>
        <w:t xml:space="preserve">, support only one single value for the PRB offset between CORESET#0 and SSB </w:t>
      </w:r>
      <w:bookmarkEnd w:id="8"/>
      <w:r>
        <w:rPr>
          <w:color w:val="000000" w:themeColor="text1"/>
        </w:rPr>
        <w:t>in Type0-PDCCH CORESET configuration.</w:t>
      </w:r>
      <w:bookmarkEnd w:id="9"/>
    </w:p>
    <w:p w:rsidR="00EE3DFA" w:rsidRDefault="00EE3DFA" w:rsidP="00EE3DFA">
      <w:pPr>
        <w:pStyle w:val="Caption"/>
        <w:numPr>
          <w:ilvl w:val="0"/>
          <w:numId w:val="43"/>
        </w:numPr>
        <w:textAlignment w:val="auto"/>
      </w:pPr>
      <w:r>
        <w:t xml:space="preserve">FFS the exact offset values </w:t>
      </w:r>
      <w:r>
        <w:rPr>
          <w:color w:val="000000" w:themeColor="text1"/>
        </w:rPr>
        <w:t xml:space="preserve">by considering RAN4’s final decision on sync raster placement </w:t>
      </w:r>
    </w:p>
    <w:p w:rsidR="00EE3DFA" w:rsidRDefault="00EE3DFA" w:rsidP="00EE3DFA">
      <w:r>
        <w:t xml:space="preserve">As to the search space configuration for Type0-PDCCH, we propose to use Table 13-11 in TS38.213 (“Parameters for PDCCH monitoring occasions for Type0-PDCCH CSS set - SS/PBCH block and CORESET multiplexing pattern 1 and FR1”) as a starting point. In order to increase channel access opportunities for DRS and enhance NR-U performance, we should honor our previous agreements on supporting Type0-PDCCH monitoring in between two SSBs in a slot. Therefore, we propose to support the following table for Type0-PDCCH search space configuration in NR-U. </w:t>
      </w:r>
    </w:p>
    <w:p w:rsidR="00AB75C3" w:rsidRDefault="00AB75C3" w:rsidP="00AB75C3">
      <w:pPr>
        <w:pStyle w:val="Caption"/>
      </w:pPr>
      <w:bookmarkStart w:id="10" w:name="_Ref21420210"/>
      <w:r>
        <w:t xml:space="preserve">Proposal </w:t>
      </w:r>
      <w:r>
        <w:fldChar w:fldCharType="begin"/>
      </w:r>
      <w:r>
        <w:instrText xml:space="preserve"> SEQ Proposal \* ARABIC </w:instrText>
      </w:r>
      <w:r>
        <w:fldChar w:fldCharType="separate"/>
      </w:r>
      <w:r>
        <w:rPr>
          <w:noProof/>
        </w:rPr>
        <w:t>7</w:t>
      </w:r>
      <w:r>
        <w:fldChar w:fldCharType="end"/>
      </w:r>
      <w:r>
        <w:t>: Use Table 13-11 in TS38.213 as a starting point for Type0-PDCCH search space configuration for NR-U.</w:t>
      </w:r>
      <w:bookmarkEnd w:id="10"/>
    </w:p>
    <w:p w:rsidR="00AB75C3" w:rsidRDefault="00AB75C3" w:rsidP="00AB75C3">
      <w:pPr>
        <w:pStyle w:val="Caption"/>
      </w:pPr>
      <w:bookmarkStart w:id="11" w:name="_Ref21420219"/>
      <w:r>
        <w:t xml:space="preserve">Proposal </w:t>
      </w:r>
      <w:r>
        <w:fldChar w:fldCharType="begin"/>
      </w:r>
      <w:r>
        <w:instrText xml:space="preserve"> SEQ Proposal \* ARABIC </w:instrText>
      </w:r>
      <w:r>
        <w:fldChar w:fldCharType="separate"/>
      </w:r>
      <w:r>
        <w:rPr>
          <w:noProof/>
        </w:rPr>
        <w:t>8</w:t>
      </w:r>
      <w:r>
        <w:fldChar w:fldCharType="end"/>
      </w:r>
      <w:r>
        <w:t xml:space="preserve">: Support </w:t>
      </w:r>
      <w:r>
        <w:fldChar w:fldCharType="begin"/>
      </w:r>
      <w:r>
        <w:instrText xml:space="preserve"> REF _Ref21420150 \h </w:instrText>
      </w:r>
      <w:r>
        <w:fldChar w:fldCharType="separate"/>
      </w:r>
      <w:r>
        <w:t xml:space="preserve">Table </w:t>
      </w:r>
      <w:r>
        <w:rPr>
          <w:noProof/>
        </w:rPr>
        <w:t>1</w:t>
      </w:r>
      <w:r>
        <w:fldChar w:fldCharType="end"/>
      </w:r>
      <w:r>
        <w:t xml:space="preserve"> for space configuration for Type0-PDCCH in NR-U.</w:t>
      </w:r>
      <w:bookmarkEnd w:id="11"/>
    </w:p>
    <w:p w:rsidR="00AB75C3" w:rsidRDefault="00AB75C3" w:rsidP="00EE3DFA"/>
    <w:p w:rsidR="00AB75C3" w:rsidRDefault="00AB75C3" w:rsidP="00EE3DFA"/>
    <w:p w:rsidR="00EE3DFA" w:rsidRDefault="00EE3DFA" w:rsidP="00AB75C3">
      <w:pPr>
        <w:pStyle w:val="Caption"/>
        <w:jc w:val="center"/>
      </w:pPr>
      <w:bookmarkStart w:id="12" w:name="_Ref21420150"/>
      <w:r>
        <w:lastRenderedPageBreak/>
        <w:t xml:space="preserve">Table </w:t>
      </w:r>
      <w:r>
        <w:fldChar w:fldCharType="begin"/>
      </w:r>
      <w:r>
        <w:instrText xml:space="preserve"> SEQ Table \* ARABIC </w:instrText>
      </w:r>
      <w:r>
        <w:fldChar w:fldCharType="separate"/>
      </w:r>
      <w:r w:rsidR="00362242">
        <w:rPr>
          <w:noProof/>
        </w:rPr>
        <w:t>1</w:t>
      </w:r>
      <w:r>
        <w:fldChar w:fldCharType="end"/>
      </w:r>
      <w:bookmarkEnd w:id="12"/>
      <w:r>
        <w:t>: Parameters for PDCCH monitoring occasions for Type0-PDCCH CSS set - SS/PBCH block and CORESET multiplexing pattern 1 and FR1 in NR-U. Note: modified from Table 13-11 of TS38.213 with modification highlighted in red color</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885"/>
        <w:gridCol w:w="3325"/>
        <w:gridCol w:w="973"/>
        <w:gridCol w:w="3445"/>
      </w:tblGrid>
      <w:tr w:rsidR="00EE3DFA" w:rsidTr="00EE3DFA">
        <w:trPr>
          <w:cantSplit/>
        </w:trPr>
        <w:tc>
          <w:tcPr>
            <w:tcW w:w="805" w:type="dxa"/>
            <w:tcBorders>
              <w:top w:val="single" w:sz="4" w:space="0" w:color="auto"/>
              <w:left w:val="single" w:sz="4" w:space="0" w:color="auto"/>
              <w:bottom w:val="double" w:sz="4" w:space="0" w:color="auto"/>
              <w:right w:val="double" w:sz="4" w:space="0" w:color="auto"/>
            </w:tcBorders>
            <w:shd w:val="clear" w:color="auto" w:fill="E0E0E0"/>
            <w:vAlign w:val="center"/>
            <w:hideMark/>
          </w:tcPr>
          <w:p w:rsidR="00EE3DFA" w:rsidRDefault="00EE3DFA">
            <w:pPr>
              <w:pStyle w:val="TAH"/>
              <w:rPr>
                <w:bCs/>
                <w:lang w:val="en-US"/>
              </w:rPr>
            </w:pPr>
            <w:r>
              <w:rPr>
                <w:bCs/>
                <w:lang w:val="en-US"/>
              </w:rPr>
              <w:t>Index</w:t>
            </w:r>
          </w:p>
        </w:tc>
        <w:tc>
          <w:tcPr>
            <w:tcW w:w="885" w:type="dxa"/>
            <w:tcBorders>
              <w:top w:val="single" w:sz="4" w:space="0" w:color="auto"/>
              <w:left w:val="double" w:sz="4" w:space="0" w:color="auto"/>
              <w:bottom w:val="double" w:sz="4" w:space="0" w:color="auto"/>
              <w:right w:val="single" w:sz="4" w:space="0" w:color="auto"/>
            </w:tcBorders>
            <w:shd w:val="clear" w:color="auto" w:fill="E0E0E0"/>
            <w:vAlign w:val="center"/>
            <w:hideMark/>
          </w:tcPr>
          <w:p w:rsidR="00EE3DFA" w:rsidRDefault="00EE3DFA">
            <w:pPr>
              <w:pStyle w:val="TAH"/>
              <w:rPr>
                <w:bCs/>
                <w:lang w:val="en-US"/>
              </w:rPr>
            </w:pPr>
            <w:r>
              <w:rPr>
                <w:noProof/>
                <w:position w:val="-6"/>
                <w:lang w:val="en-US" w:eastAsia="zh-TW"/>
              </w:rPr>
              <w:drawing>
                <wp:inline distT="0" distB="0" distL="0" distR="0">
                  <wp:extent cx="181610" cy="15494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1610" cy="154940"/>
                          </a:xfrm>
                          <a:prstGeom prst="rect">
                            <a:avLst/>
                          </a:prstGeom>
                          <a:noFill/>
                          <a:ln>
                            <a:noFill/>
                          </a:ln>
                        </pic:spPr>
                      </pic:pic>
                    </a:graphicData>
                  </a:graphic>
                </wp:inline>
              </w:drawing>
            </w:r>
          </w:p>
        </w:tc>
        <w:tc>
          <w:tcPr>
            <w:tcW w:w="3325" w:type="dxa"/>
            <w:tcBorders>
              <w:top w:val="single" w:sz="4" w:space="0" w:color="auto"/>
              <w:left w:val="single" w:sz="4" w:space="0" w:color="auto"/>
              <w:bottom w:val="double" w:sz="4" w:space="0" w:color="auto"/>
              <w:right w:val="single" w:sz="4" w:space="0" w:color="auto"/>
            </w:tcBorders>
            <w:shd w:val="clear" w:color="auto" w:fill="E0E0E0"/>
            <w:vAlign w:val="center"/>
            <w:hideMark/>
          </w:tcPr>
          <w:p w:rsidR="00EE3DFA" w:rsidRDefault="00EE3DFA">
            <w:pPr>
              <w:pStyle w:val="TAH"/>
              <w:rPr>
                <w:bCs/>
                <w:lang w:val="en-US"/>
              </w:rPr>
            </w:pPr>
            <w:r>
              <w:rPr>
                <w:rStyle w:val="CommentReference"/>
                <w:rFonts w:cs="Arial"/>
                <w:szCs w:val="18"/>
              </w:rPr>
              <w:t>Number of search space sets per slot</w:t>
            </w:r>
          </w:p>
        </w:tc>
        <w:tc>
          <w:tcPr>
            <w:tcW w:w="973" w:type="dxa"/>
            <w:tcBorders>
              <w:top w:val="single" w:sz="4" w:space="0" w:color="auto"/>
              <w:left w:val="single" w:sz="4" w:space="0" w:color="auto"/>
              <w:bottom w:val="double" w:sz="4" w:space="0" w:color="auto"/>
              <w:right w:val="single" w:sz="4" w:space="0" w:color="auto"/>
            </w:tcBorders>
            <w:shd w:val="clear" w:color="auto" w:fill="E0E0E0"/>
            <w:vAlign w:val="center"/>
            <w:hideMark/>
          </w:tcPr>
          <w:p w:rsidR="00EE3DFA" w:rsidRDefault="00EE3DFA">
            <w:pPr>
              <w:pStyle w:val="TAH"/>
              <w:rPr>
                <w:bCs/>
                <w:lang w:val="en-US"/>
              </w:rPr>
            </w:pPr>
            <w:r>
              <w:rPr>
                <w:noProof/>
                <w:position w:val="-4"/>
                <w:lang w:val="en-US" w:eastAsia="zh-TW"/>
              </w:rPr>
              <w:drawing>
                <wp:inline distT="0" distB="0" distL="0" distR="0">
                  <wp:extent cx="181610" cy="154940"/>
                  <wp:effectExtent l="0" t="0" r="889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1610" cy="154940"/>
                          </a:xfrm>
                          <a:prstGeom prst="rect">
                            <a:avLst/>
                          </a:prstGeom>
                          <a:noFill/>
                          <a:ln>
                            <a:noFill/>
                          </a:ln>
                        </pic:spPr>
                      </pic:pic>
                    </a:graphicData>
                  </a:graphic>
                </wp:inline>
              </w:drawing>
            </w:r>
          </w:p>
        </w:tc>
        <w:tc>
          <w:tcPr>
            <w:tcW w:w="3445" w:type="dxa"/>
            <w:tcBorders>
              <w:top w:val="single" w:sz="4" w:space="0" w:color="auto"/>
              <w:left w:val="single" w:sz="4" w:space="0" w:color="auto"/>
              <w:bottom w:val="double" w:sz="4" w:space="0" w:color="auto"/>
              <w:right w:val="single" w:sz="4" w:space="0" w:color="auto"/>
            </w:tcBorders>
            <w:shd w:val="clear" w:color="auto" w:fill="E0E0E0"/>
            <w:vAlign w:val="center"/>
            <w:hideMark/>
          </w:tcPr>
          <w:p w:rsidR="00EE3DFA" w:rsidRDefault="00EE3DFA">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EE3DFA" w:rsidTr="00EE3DFA">
        <w:trPr>
          <w:cantSplit/>
        </w:trPr>
        <w:tc>
          <w:tcPr>
            <w:tcW w:w="805" w:type="dxa"/>
            <w:tcBorders>
              <w:top w:val="double" w:sz="4" w:space="0" w:color="auto"/>
              <w:left w:val="single" w:sz="4" w:space="0" w:color="auto"/>
              <w:bottom w:val="single" w:sz="4" w:space="0" w:color="auto"/>
              <w:right w:val="double" w:sz="4" w:space="0" w:color="auto"/>
            </w:tcBorders>
            <w:vAlign w:val="center"/>
            <w:hideMark/>
          </w:tcPr>
          <w:p w:rsidR="00EE3DFA" w:rsidRDefault="00EE3DFA">
            <w:pPr>
              <w:pStyle w:val="TAC"/>
              <w:rPr>
                <w:lang w:val="en-US"/>
              </w:rPr>
            </w:pPr>
            <w:r>
              <w:rPr>
                <w:lang w:val="en-US"/>
              </w:rPr>
              <w:t>0</w:t>
            </w:r>
          </w:p>
        </w:tc>
        <w:tc>
          <w:tcPr>
            <w:tcW w:w="885" w:type="dxa"/>
            <w:tcBorders>
              <w:top w:val="double" w:sz="4" w:space="0" w:color="auto"/>
              <w:left w:val="double" w:sz="4" w:space="0" w:color="auto"/>
              <w:bottom w:val="single" w:sz="4" w:space="0" w:color="auto"/>
              <w:right w:val="single" w:sz="4" w:space="0" w:color="auto"/>
            </w:tcBorders>
            <w:vAlign w:val="center"/>
            <w:hideMark/>
          </w:tcPr>
          <w:p w:rsidR="00EE3DFA" w:rsidRDefault="00EE3DFA">
            <w:pPr>
              <w:pStyle w:val="TAC"/>
              <w:rPr>
                <w:lang w:val="en-US"/>
              </w:rPr>
            </w:pPr>
            <w:r>
              <w:rPr>
                <w:rStyle w:val="CommentReference"/>
                <w:rFonts w:cs="Arial"/>
                <w:szCs w:val="18"/>
              </w:rPr>
              <w:t>0</w:t>
            </w:r>
          </w:p>
        </w:tc>
        <w:tc>
          <w:tcPr>
            <w:tcW w:w="3325" w:type="dxa"/>
            <w:tcBorders>
              <w:top w:val="double" w:sz="4" w:space="0" w:color="auto"/>
              <w:left w:val="single" w:sz="4" w:space="0" w:color="auto"/>
              <w:bottom w:val="single" w:sz="4" w:space="0" w:color="auto"/>
              <w:right w:val="single" w:sz="4" w:space="0" w:color="auto"/>
            </w:tcBorders>
            <w:vAlign w:val="center"/>
            <w:hideMark/>
          </w:tcPr>
          <w:p w:rsidR="00EE3DFA" w:rsidRDefault="00EE3DFA">
            <w:pPr>
              <w:pStyle w:val="TAC"/>
              <w:rPr>
                <w:lang w:val="en-US"/>
              </w:rPr>
            </w:pPr>
            <w:r>
              <w:rPr>
                <w:rStyle w:val="CommentReference"/>
                <w:rFonts w:cs="Arial"/>
                <w:szCs w:val="18"/>
              </w:rPr>
              <w:t>1</w:t>
            </w:r>
          </w:p>
        </w:tc>
        <w:tc>
          <w:tcPr>
            <w:tcW w:w="973" w:type="dxa"/>
            <w:tcBorders>
              <w:top w:val="double" w:sz="4" w:space="0" w:color="auto"/>
              <w:left w:val="single" w:sz="4" w:space="0" w:color="auto"/>
              <w:bottom w:val="single" w:sz="4" w:space="0" w:color="auto"/>
              <w:right w:val="single" w:sz="4" w:space="0" w:color="auto"/>
            </w:tcBorders>
            <w:vAlign w:val="center"/>
            <w:hideMark/>
          </w:tcPr>
          <w:p w:rsidR="00EE3DFA" w:rsidRDefault="00EE3DFA">
            <w:pPr>
              <w:pStyle w:val="TAC"/>
              <w:rPr>
                <w:lang w:val="en-US"/>
              </w:rPr>
            </w:pPr>
            <w:r>
              <w:rPr>
                <w:rStyle w:val="CommentReference"/>
                <w:rFonts w:cs="Arial"/>
                <w:szCs w:val="18"/>
              </w:rPr>
              <w:t>1</w:t>
            </w:r>
          </w:p>
        </w:tc>
        <w:tc>
          <w:tcPr>
            <w:tcW w:w="3445" w:type="dxa"/>
            <w:tcBorders>
              <w:top w:val="double" w:sz="4" w:space="0" w:color="auto"/>
              <w:left w:val="single" w:sz="4" w:space="0" w:color="auto"/>
              <w:bottom w:val="single" w:sz="4" w:space="0" w:color="auto"/>
              <w:right w:val="single" w:sz="4" w:space="0" w:color="auto"/>
            </w:tcBorders>
            <w:vAlign w:val="center"/>
            <w:hideMark/>
          </w:tcPr>
          <w:p w:rsidR="00EE3DFA" w:rsidRDefault="00EE3DFA">
            <w:pPr>
              <w:pStyle w:val="TAC"/>
              <w:rPr>
                <w:lang w:val="en-US"/>
              </w:rPr>
            </w:pPr>
            <w:r>
              <w:rPr>
                <w:rStyle w:val="CommentReference"/>
                <w:rFonts w:cs="Arial"/>
                <w:szCs w:val="18"/>
              </w:rPr>
              <w:t>0</w:t>
            </w:r>
          </w:p>
        </w:tc>
      </w:tr>
      <w:tr w:rsidR="00EE3DFA" w:rsidTr="00EE3DFA">
        <w:trPr>
          <w:cantSplit/>
        </w:trPr>
        <w:tc>
          <w:tcPr>
            <w:tcW w:w="805" w:type="dxa"/>
            <w:tcBorders>
              <w:top w:val="single" w:sz="4" w:space="0" w:color="auto"/>
              <w:left w:val="single" w:sz="4" w:space="0" w:color="auto"/>
              <w:bottom w:val="single" w:sz="4" w:space="0" w:color="auto"/>
              <w:right w:val="double" w:sz="4" w:space="0" w:color="auto"/>
            </w:tcBorders>
            <w:vAlign w:val="center"/>
            <w:hideMark/>
          </w:tcPr>
          <w:p w:rsidR="00EE3DFA" w:rsidRDefault="00EE3DFA">
            <w:pPr>
              <w:pStyle w:val="TAC"/>
              <w:rPr>
                <w:lang w:val="en-US"/>
              </w:rPr>
            </w:pPr>
            <w:r>
              <w:rPr>
                <w:lang w:val="en-US"/>
              </w:rPr>
              <w:t>1</w:t>
            </w:r>
          </w:p>
        </w:tc>
        <w:tc>
          <w:tcPr>
            <w:tcW w:w="885" w:type="dxa"/>
            <w:tcBorders>
              <w:top w:val="single" w:sz="4" w:space="0" w:color="auto"/>
              <w:left w:val="double" w:sz="4" w:space="0" w:color="auto"/>
              <w:bottom w:val="single" w:sz="4" w:space="0" w:color="auto"/>
              <w:right w:val="single" w:sz="4" w:space="0" w:color="auto"/>
            </w:tcBorders>
            <w:vAlign w:val="center"/>
            <w:hideMark/>
          </w:tcPr>
          <w:p w:rsidR="00EE3DFA" w:rsidRDefault="00EE3DFA">
            <w:pPr>
              <w:pStyle w:val="TAC"/>
              <w:rPr>
                <w:lang w:val="en-US"/>
              </w:rPr>
            </w:pPr>
            <w:r>
              <w:rPr>
                <w:rStyle w:val="CommentReference"/>
                <w:rFonts w:cs="Arial"/>
                <w:szCs w:val="18"/>
              </w:rPr>
              <w:t>0</w:t>
            </w:r>
          </w:p>
        </w:tc>
        <w:tc>
          <w:tcPr>
            <w:tcW w:w="3325" w:type="dxa"/>
            <w:tcBorders>
              <w:top w:val="single" w:sz="4" w:space="0" w:color="auto"/>
              <w:left w:val="single" w:sz="4" w:space="0" w:color="auto"/>
              <w:bottom w:val="single" w:sz="4" w:space="0" w:color="auto"/>
              <w:right w:val="single" w:sz="4" w:space="0" w:color="auto"/>
            </w:tcBorders>
            <w:vAlign w:val="center"/>
            <w:hideMark/>
          </w:tcPr>
          <w:p w:rsidR="00EE3DFA" w:rsidRDefault="00EE3DFA">
            <w:pPr>
              <w:pStyle w:val="TAC"/>
              <w:rPr>
                <w:lang w:val="en-US"/>
              </w:rPr>
            </w:pPr>
            <w:r>
              <w:rPr>
                <w:rStyle w:val="CommentReference"/>
                <w:rFonts w:cs="Arial"/>
                <w:szCs w:val="18"/>
              </w:rPr>
              <w:t>2</w:t>
            </w:r>
          </w:p>
        </w:tc>
        <w:tc>
          <w:tcPr>
            <w:tcW w:w="973" w:type="dxa"/>
            <w:tcBorders>
              <w:top w:val="single" w:sz="4" w:space="0" w:color="auto"/>
              <w:left w:val="single" w:sz="4" w:space="0" w:color="auto"/>
              <w:bottom w:val="single" w:sz="4" w:space="0" w:color="auto"/>
              <w:right w:val="single" w:sz="4" w:space="0" w:color="auto"/>
            </w:tcBorders>
            <w:vAlign w:val="center"/>
            <w:hideMark/>
          </w:tcPr>
          <w:p w:rsidR="00EE3DFA" w:rsidRDefault="00EE3DFA">
            <w:pPr>
              <w:pStyle w:val="TAC"/>
              <w:rPr>
                <w:lang w:val="en-US"/>
              </w:rPr>
            </w:pPr>
            <w:r>
              <w:rPr>
                <w:rStyle w:val="CommentReference"/>
                <w:rFonts w:cs="Arial"/>
                <w:szCs w:val="18"/>
              </w:rPr>
              <w:t>1/2</w:t>
            </w:r>
          </w:p>
        </w:tc>
        <w:tc>
          <w:tcPr>
            <w:tcW w:w="3445" w:type="dxa"/>
            <w:tcBorders>
              <w:top w:val="single" w:sz="4" w:space="0" w:color="auto"/>
              <w:left w:val="single" w:sz="4" w:space="0" w:color="auto"/>
              <w:bottom w:val="single" w:sz="4" w:space="0" w:color="auto"/>
              <w:right w:val="single" w:sz="4" w:space="0" w:color="auto"/>
            </w:tcBorders>
            <w:vAlign w:val="center"/>
            <w:hideMark/>
          </w:tcPr>
          <w:p w:rsidR="00EE3DFA" w:rsidRDefault="00EE3DFA">
            <w:pPr>
              <w:pStyle w:val="TAC"/>
              <w:rPr>
                <w:lang w:val="en-US"/>
              </w:rPr>
            </w:pPr>
            <w:r>
              <w:rPr>
                <w:rStyle w:val="CommentReference"/>
                <w:rFonts w:cs="Arial"/>
                <w:szCs w:val="18"/>
              </w:rPr>
              <w:t xml:space="preserve">{0, if </w:t>
            </w:r>
            <w:r>
              <w:rPr>
                <w:noProof/>
                <w:position w:val="-6"/>
                <w:lang w:val="en-US" w:eastAsia="zh-TW"/>
              </w:rPr>
              <w:drawing>
                <wp:inline distT="0" distB="0" distL="0" distR="0">
                  <wp:extent cx="90805" cy="181610"/>
                  <wp:effectExtent l="0" t="0" r="4445" b="889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0805" cy="18161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val="en-US" w:eastAsia="zh-TW"/>
              </w:rPr>
              <w:drawing>
                <wp:inline distT="0" distB="0" distL="0" distR="0">
                  <wp:extent cx="481330" cy="21399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1330" cy="213995"/>
                          </a:xfrm>
                          <a:prstGeom prst="rect">
                            <a:avLst/>
                          </a:prstGeom>
                          <a:noFill/>
                          <a:ln>
                            <a:noFill/>
                          </a:ln>
                        </pic:spPr>
                      </pic:pic>
                    </a:graphicData>
                  </a:graphic>
                </wp:inline>
              </w:drawing>
            </w:r>
            <w:r>
              <w:t xml:space="preserve">, if </w:t>
            </w:r>
            <w:r>
              <w:rPr>
                <w:noProof/>
                <w:position w:val="-6"/>
                <w:lang w:val="en-US" w:eastAsia="zh-TW"/>
              </w:rPr>
              <w:drawing>
                <wp:inline distT="0" distB="0" distL="0" distR="0">
                  <wp:extent cx="90805" cy="181610"/>
                  <wp:effectExtent l="0" t="0" r="4445" b="889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0805" cy="181610"/>
                          </a:xfrm>
                          <a:prstGeom prst="rect">
                            <a:avLst/>
                          </a:prstGeom>
                          <a:noFill/>
                          <a:ln>
                            <a:noFill/>
                          </a:ln>
                        </pic:spPr>
                      </pic:pic>
                    </a:graphicData>
                  </a:graphic>
                </wp:inline>
              </w:drawing>
            </w:r>
            <w:r>
              <w:t xml:space="preserve"> is odd</w:t>
            </w:r>
            <w:r>
              <w:rPr>
                <w:rStyle w:val="CommentReference"/>
                <w:rFonts w:cs="Arial"/>
                <w:szCs w:val="18"/>
              </w:rPr>
              <w:t>}</w:t>
            </w:r>
          </w:p>
        </w:tc>
      </w:tr>
      <w:tr w:rsidR="00EE3DFA" w:rsidTr="00EE3DFA">
        <w:trPr>
          <w:cantSplit/>
        </w:trPr>
        <w:tc>
          <w:tcPr>
            <w:tcW w:w="805" w:type="dxa"/>
            <w:tcBorders>
              <w:top w:val="single" w:sz="4" w:space="0" w:color="auto"/>
              <w:left w:val="single" w:sz="4" w:space="0" w:color="auto"/>
              <w:bottom w:val="single" w:sz="4" w:space="0" w:color="auto"/>
              <w:right w:val="double" w:sz="4" w:space="0" w:color="auto"/>
            </w:tcBorders>
            <w:vAlign w:val="center"/>
            <w:hideMark/>
          </w:tcPr>
          <w:p w:rsidR="00EE3DFA" w:rsidRDefault="00EE3DFA">
            <w:pPr>
              <w:pStyle w:val="TAC"/>
            </w:pPr>
            <w:r>
              <w:t>2</w:t>
            </w:r>
          </w:p>
        </w:tc>
        <w:tc>
          <w:tcPr>
            <w:tcW w:w="885" w:type="dxa"/>
            <w:tcBorders>
              <w:top w:val="single" w:sz="4" w:space="0" w:color="auto"/>
              <w:left w:val="double" w:sz="4" w:space="0" w:color="auto"/>
              <w:bottom w:val="single" w:sz="4" w:space="0" w:color="auto"/>
              <w:right w:val="single" w:sz="4" w:space="0" w:color="auto"/>
            </w:tcBorders>
            <w:vAlign w:val="center"/>
            <w:hideMark/>
          </w:tcPr>
          <w:p w:rsidR="00EE3DFA" w:rsidRDefault="00EE3DFA">
            <w:pPr>
              <w:pStyle w:val="TAC"/>
            </w:pPr>
            <w:r>
              <w:rPr>
                <w:rStyle w:val="CommentReference"/>
                <w:rFonts w:cs="Arial"/>
                <w:szCs w:val="18"/>
              </w:rPr>
              <w:t>2</w:t>
            </w:r>
          </w:p>
        </w:tc>
        <w:tc>
          <w:tcPr>
            <w:tcW w:w="3325" w:type="dxa"/>
            <w:tcBorders>
              <w:top w:val="single" w:sz="4" w:space="0" w:color="auto"/>
              <w:left w:val="single" w:sz="4" w:space="0" w:color="auto"/>
              <w:bottom w:val="single" w:sz="4" w:space="0" w:color="auto"/>
              <w:right w:val="single" w:sz="4" w:space="0" w:color="auto"/>
            </w:tcBorders>
            <w:vAlign w:val="center"/>
            <w:hideMark/>
          </w:tcPr>
          <w:p w:rsidR="00EE3DFA" w:rsidRDefault="00EE3DFA">
            <w:pPr>
              <w:pStyle w:val="TAC"/>
            </w:pPr>
            <w:r>
              <w:rPr>
                <w:rStyle w:val="CommentReference"/>
                <w:rFonts w:cs="Arial"/>
                <w:szCs w:val="18"/>
              </w:rPr>
              <w:t>1</w:t>
            </w:r>
          </w:p>
        </w:tc>
        <w:tc>
          <w:tcPr>
            <w:tcW w:w="973" w:type="dxa"/>
            <w:tcBorders>
              <w:top w:val="single" w:sz="4" w:space="0" w:color="auto"/>
              <w:left w:val="single" w:sz="4" w:space="0" w:color="auto"/>
              <w:bottom w:val="single" w:sz="4" w:space="0" w:color="auto"/>
              <w:right w:val="single" w:sz="4" w:space="0" w:color="auto"/>
            </w:tcBorders>
            <w:vAlign w:val="center"/>
            <w:hideMark/>
          </w:tcPr>
          <w:p w:rsidR="00EE3DFA" w:rsidRDefault="00EE3DFA">
            <w:pPr>
              <w:pStyle w:val="TAC"/>
            </w:pPr>
            <w:r>
              <w:rPr>
                <w:rStyle w:val="CommentReference"/>
                <w:rFonts w:cs="Arial"/>
                <w:szCs w:val="18"/>
              </w:rPr>
              <w:t>1</w:t>
            </w:r>
          </w:p>
        </w:tc>
        <w:tc>
          <w:tcPr>
            <w:tcW w:w="3445" w:type="dxa"/>
            <w:tcBorders>
              <w:top w:val="single" w:sz="4" w:space="0" w:color="auto"/>
              <w:left w:val="single" w:sz="4" w:space="0" w:color="auto"/>
              <w:bottom w:val="single" w:sz="4" w:space="0" w:color="auto"/>
              <w:right w:val="single" w:sz="4" w:space="0" w:color="auto"/>
            </w:tcBorders>
            <w:vAlign w:val="center"/>
            <w:hideMark/>
          </w:tcPr>
          <w:p w:rsidR="00EE3DFA" w:rsidRDefault="00EE3DFA">
            <w:pPr>
              <w:pStyle w:val="TAC"/>
            </w:pPr>
            <w:r>
              <w:rPr>
                <w:rStyle w:val="CommentReference"/>
                <w:rFonts w:cs="Arial"/>
                <w:szCs w:val="18"/>
              </w:rPr>
              <w:t>0</w:t>
            </w:r>
          </w:p>
        </w:tc>
      </w:tr>
      <w:tr w:rsidR="00EE3DFA" w:rsidTr="00EE3DFA">
        <w:trPr>
          <w:cantSplit/>
        </w:trPr>
        <w:tc>
          <w:tcPr>
            <w:tcW w:w="805" w:type="dxa"/>
            <w:tcBorders>
              <w:top w:val="single" w:sz="4" w:space="0" w:color="auto"/>
              <w:left w:val="single" w:sz="4" w:space="0" w:color="auto"/>
              <w:bottom w:val="single" w:sz="4" w:space="0" w:color="auto"/>
              <w:right w:val="double" w:sz="4" w:space="0" w:color="auto"/>
            </w:tcBorders>
            <w:vAlign w:val="center"/>
            <w:hideMark/>
          </w:tcPr>
          <w:p w:rsidR="00EE3DFA" w:rsidRDefault="00EE3DFA">
            <w:pPr>
              <w:pStyle w:val="TAC"/>
            </w:pPr>
            <w:r>
              <w:t>3</w:t>
            </w:r>
          </w:p>
        </w:tc>
        <w:tc>
          <w:tcPr>
            <w:tcW w:w="885" w:type="dxa"/>
            <w:tcBorders>
              <w:top w:val="single" w:sz="4" w:space="0" w:color="auto"/>
              <w:left w:val="double" w:sz="4" w:space="0" w:color="auto"/>
              <w:bottom w:val="single" w:sz="4" w:space="0" w:color="auto"/>
              <w:right w:val="single" w:sz="4" w:space="0" w:color="auto"/>
            </w:tcBorders>
            <w:vAlign w:val="center"/>
            <w:hideMark/>
          </w:tcPr>
          <w:p w:rsidR="00EE3DFA" w:rsidRDefault="00EE3DFA">
            <w:pPr>
              <w:pStyle w:val="TAC"/>
            </w:pPr>
            <w:r>
              <w:rPr>
                <w:rStyle w:val="CommentReference"/>
                <w:rFonts w:cs="Arial"/>
                <w:szCs w:val="18"/>
              </w:rPr>
              <w:t>2</w:t>
            </w:r>
          </w:p>
        </w:tc>
        <w:tc>
          <w:tcPr>
            <w:tcW w:w="3325" w:type="dxa"/>
            <w:tcBorders>
              <w:top w:val="single" w:sz="4" w:space="0" w:color="auto"/>
              <w:left w:val="single" w:sz="4" w:space="0" w:color="auto"/>
              <w:bottom w:val="single" w:sz="4" w:space="0" w:color="auto"/>
              <w:right w:val="single" w:sz="4" w:space="0" w:color="auto"/>
            </w:tcBorders>
            <w:vAlign w:val="center"/>
            <w:hideMark/>
          </w:tcPr>
          <w:p w:rsidR="00EE3DFA" w:rsidRDefault="00EE3DFA">
            <w:pPr>
              <w:pStyle w:val="TAC"/>
            </w:pPr>
            <w:r>
              <w:rPr>
                <w:rStyle w:val="CommentReference"/>
                <w:rFonts w:cs="Arial"/>
                <w:szCs w:val="18"/>
              </w:rPr>
              <w:t>2</w:t>
            </w:r>
          </w:p>
        </w:tc>
        <w:tc>
          <w:tcPr>
            <w:tcW w:w="973" w:type="dxa"/>
            <w:tcBorders>
              <w:top w:val="single" w:sz="4" w:space="0" w:color="auto"/>
              <w:left w:val="single" w:sz="4" w:space="0" w:color="auto"/>
              <w:bottom w:val="single" w:sz="4" w:space="0" w:color="auto"/>
              <w:right w:val="single" w:sz="4" w:space="0" w:color="auto"/>
            </w:tcBorders>
            <w:vAlign w:val="center"/>
            <w:hideMark/>
          </w:tcPr>
          <w:p w:rsidR="00EE3DFA" w:rsidRDefault="00EE3DFA">
            <w:pPr>
              <w:pStyle w:val="TAC"/>
            </w:pPr>
            <w:r>
              <w:rPr>
                <w:rStyle w:val="CommentReference"/>
                <w:rFonts w:cs="Arial"/>
                <w:szCs w:val="18"/>
              </w:rPr>
              <w:t>1/2</w:t>
            </w:r>
          </w:p>
        </w:tc>
        <w:tc>
          <w:tcPr>
            <w:tcW w:w="3445" w:type="dxa"/>
            <w:tcBorders>
              <w:top w:val="single" w:sz="4" w:space="0" w:color="auto"/>
              <w:left w:val="single" w:sz="4" w:space="0" w:color="auto"/>
              <w:bottom w:val="single" w:sz="4" w:space="0" w:color="auto"/>
              <w:right w:val="single" w:sz="4" w:space="0" w:color="auto"/>
            </w:tcBorders>
            <w:vAlign w:val="center"/>
            <w:hideMark/>
          </w:tcPr>
          <w:p w:rsidR="00EE3DFA" w:rsidRDefault="00EE3DFA">
            <w:pPr>
              <w:pStyle w:val="TAC"/>
            </w:pPr>
            <w:r>
              <w:rPr>
                <w:rStyle w:val="CommentReference"/>
                <w:rFonts w:cs="Arial"/>
                <w:szCs w:val="18"/>
              </w:rPr>
              <w:t xml:space="preserve">{0, if </w:t>
            </w:r>
            <w:r>
              <w:rPr>
                <w:noProof/>
                <w:position w:val="-6"/>
                <w:lang w:val="en-US" w:eastAsia="zh-TW"/>
              </w:rPr>
              <w:drawing>
                <wp:inline distT="0" distB="0" distL="0" distR="0">
                  <wp:extent cx="90805" cy="181610"/>
                  <wp:effectExtent l="0" t="0" r="4445" b="889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0805" cy="18161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val="en-US" w:eastAsia="zh-TW"/>
              </w:rPr>
              <w:drawing>
                <wp:inline distT="0" distB="0" distL="0" distR="0">
                  <wp:extent cx="481330" cy="21399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1330" cy="213995"/>
                          </a:xfrm>
                          <a:prstGeom prst="rect">
                            <a:avLst/>
                          </a:prstGeom>
                          <a:noFill/>
                          <a:ln>
                            <a:noFill/>
                          </a:ln>
                        </pic:spPr>
                      </pic:pic>
                    </a:graphicData>
                  </a:graphic>
                </wp:inline>
              </w:drawing>
            </w:r>
            <w:r>
              <w:t xml:space="preserve">, if </w:t>
            </w:r>
            <w:r>
              <w:rPr>
                <w:noProof/>
                <w:position w:val="-6"/>
                <w:lang w:val="en-US" w:eastAsia="zh-TW"/>
              </w:rPr>
              <w:drawing>
                <wp:inline distT="0" distB="0" distL="0" distR="0">
                  <wp:extent cx="90805" cy="181610"/>
                  <wp:effectExtent l="0" t="0" r="4445" b="889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0805" cy="181610"/>
                          </a:xfrm>
                          <a:prstGeom prst="rect">
                            <a:avLst/>
                          </a:prstGeom>
                          <a:noFill/>
                          <a:ln>
                            <a:noFill/>
                          </a:ln>
                        </pic:spPr>
                      </pic:pic>
                    </a:graphicData>
                  </a:graphic>
                </wp:inline>
              </w:drawing>
            </w:r>
            <w:r>
              <w:t xml:space="preserve"> is odd</w:t>
            </w:r>
            <w:r>
              <w:rPr>
                <w:rStyle w:val="CommentReference"/>
                <w:rFonts w:cs="Arial"/>
                <w:szCs w:val="18"/>
              </w:rPr>
              <w:t>}</w:t>
            </w:r>
          </w:p>
        </w:tc>
      </w:tr>
      <w:tr w:rsidR="00EE3DFA" w:rsidTr="00EE3DFA">
        <w:trPr>
          <w:cantSplit/>
        </w:trPr>
        <w:tc>
          <w:tcPr>
            <w:tcW w:w="805" w:type="dxa"/>
            <w:tcBorders>
              <w:top w:val="single" w:sz="4" w:space="0" w:color="auto"/>
              <w:left w:val="single" w:sz="4" w:space="0" w:color="auto"/>
              <w:bottom w:val="single" w:sz="4" w:space="0" w:color="auto"/>
              <w:right w:val="double" w:sz="4" w:space="0" w:color="auto"/>
            </w:tcBorders>
            <w:vAlign w:val="center"/>
            <w:hideMark/>
          </w:tcPr>
          <w:p w:rsidR="00EE3DFA" w:rsidRDefault="00EE3DFA">
            <w:pPr>
              <w:pStyle w:val="TAC"/>
            </w:pPr>
            <w:r>
              <w:t>4</w:t>
            </w:r>
          </w:p>
        </w:tc>
        <w:tc>
          <w:tcPr>
            <w:tcW w:w="885" w:type="dxa"/>
            <w:tcBorders>
              <w:top w:val="single" w:sz="4" w:space="0" w:color="auto"/>
              <w:left w:val="double" w:sz="4" w:space="0" w:color="auto"/>
              <w:bottom w:val="single" w:sz="4" w:space="0" w:color="auto"/>
              <w:right w:val="single" w:sz="4" w:space="0" w:color="auto"/>
            </w:tcBorders>
            <w:vAlign w:val="center"/>
            <w:hideMark/>
          </w:tcPr>
          <w:p w:rsidR="00EE3DFA" w:rsidRDefault="00EE3DFA">
            <w:pPr>
              <w:pStyle w:val="TAC"/>
            </w:pPr>
            <w:r>
              <w:rPr>
                <w:rStyle w:val="CommentReference"/>
                <w:rFonts w:cs="Arial"/>
                <w:szCs w:val="18"/>
              </w:rPr>
              <w:t>5</w:t>
            </w:r>
          </w:p>
        </w:tc>
        <w:tc>
          <w:tcPr>
            <w:tcW w:w="3325" w:type="dxa"/>
            <w:tcBorders>
              <w:top w:val="single" w:sz="4" w:space="0" w:color="auto"/>
              <w:left w:val="single" w:sz="4" w:space="0" w:color="auto"/>
              <w:bottom w:val="single" w:sz="4" w:space="0" w:color="auto"/>
              <w:right w:val="single" w:sz="4" w:space="0" w:color="auto"/>
            </w:tcBorders>
            <w:vAlign w:val="center"/>
            <w:hideMark/>
          </w:tcPr>
          <w:p w:rsidR="00EE3DFA" w:rsidRDefault="00EE3DFA">
            <w:pPr>
              <w:pStyle w:val="TAC"/>
            </w:pPr>
            <w:r>
              <w:rPr>
                <w:rStyle w:val="CommentReference"/>
                <w:rFonts w:cs="Arial"/>
                <w:szCs w:val="18"/>
              </w:rPr>
              <w:t>1</w:t>
            </w:r>
          </w:p>
        </w:tc>
        <w:tc>
          <w:tcPr>
            <w:tcW w:w="973" w:type="dxa"/>
            <w:tcBorders>
              <w:top w:val="single" w:sz="4" w:space="0" w:color="auto"/>
              <w:left w:val="single" w:sz="4" w:space="0" w:color="auto"/>
              <w:bottom w:val="single" w:sz="4" w:space="0" w:color="auto"/>
              <w:right w:val="single" w:sz="4" w:space="0" w:color="auto"/>
            </w:tcBorders>
            <w:vAlign w:val="center"/>
            <w:hideMark/>
          </w:tcPr>
          <w:p w:rsidR="00EE3DFA" w:rsidRDefault="00EE3DFA">
            <w:pPr>
              <w:pStyle w:val="TAC"/>
            </w:pPr>
            <w:r>
              <w:rPr>
                <w:rStyle w:val="CommentReference"/>
                <w:rFonts w:cs="Arial"/>
                <w:szCs w:val="18"/>
              </w:rPr>
              <w:t>1</w:t>
            </w:r>
          </w:p>
        </w:tc>
        <w:tc>
          <w:tcPr>
            <w:tcW w:w="3445" w:type="dxa"/>
            <w:tcBorders>
              <w:top w:val="single" w:sz="4" w:space="0" w:color="auto"/>
              <w:left w:val="single" w:sz="4" w:space="0" w:color="auto"/>
              <w:bottom w:val="single" w:sz="4" w:space="0" w:color="auto"/>
              <w:right w:val="single" w:sz="4" w:space="0" w:color="auto"/>
            </w:tcBorders>
            <w:vAlign w:val="center"/>
            <w:hideMark/>
          </w:tcPr>
          <w:p w:rsidR="00EE3DFA" w:rsidRDefault="00EE3DFA">
            <w:pPr>
              <w:pStyle w:val="TAC"/>
            </w:pPr>
            <w:r>
              <w:rPr>
                <w:rStyle w:val="CommentReference"/>
                <w:rFonts w:cs="Arial"/>
                <w:szCs w:val="18"/>
              </w:rPr>
              <w:t>0</w:t>
            </w:r>
          </w:p>
        </w:tc>
      </w:tr>
      <w:tr w:rsidR="00EE3DFA" w:rsidTr="00EE3DFA">
        <w:trPr>
          <w:cantSplit/>
        </w:trPr>
        <w:tc>
          <w:tcPr>
            <w:tcW w:w="805" w:type="dxa"/>
            <w:tcBorders>
              <w:top w:val="single" w:sz="4" w:space="0" w:color="auto"/>
              <w:left w:val="single" w:sz="4" w:space="0" w:color="auto"/>
              <w:bottom w:val="single" w:sz="4" w:space="0" w:color="auto"/>
              <w:right w:val="double" w:sz="4" w:space="0" w:color="auto"/>
            </w:tcBorders>
            <w:vAlign w:val="center"/>
            <w:hideMark/>
          </w:tcPr>
          <w:p w:rsidR="00EE3DFA" w:rsidRDefault="00EE3DFA">
            <w:pPr>
              <w:pStyle w:val="TAC"/>
            </w:pPr>
            <w:r>
              <w:t>5</w:t>
            </w:r>
          </w:p>
        </w:tc>
        <w:tc>
          <w:tcPr>
            <w:tcW w:w="885" w:type="dxa"/>
            <w:tcBorders>
              <w:top w:val="single" w:sz="4" w:space="0" w:color="auto"/>
              <w:left w:val="double" w:sz="4" w:space="0" w:color="auto"/>
              <w:bottom w:val="single" w:sz="4" w:space="0" w:color="auto"/>
              <w:right w:val="single" w:sz="4" w:space="0" w:color="auto"/>
            </w:tcBorders>
            <w:vAlign w:val="center"/>
            <w:hideMark/>
          </w:tcPr>
          <w:p w:rsidR="00EE3DFA" w:rsidRDefault="00EE3DFA">
            <w:pPr>
              <w:pStyle w:val="TAC"/>
            </w:pPr>
            <w:r>
              <w:rPr>
                <w:rStyle w:val="CommentReference"/>
                <w:rFonts w:cs="Arial"/>
                <w:szCs w:val="18"/>
              </w:rPr>
              <w:t>5</w:t>
            </w:r>
          </w:p>
        </w:tc>
        <w:tc>
          <w:tcPr>
            <w:tcW w:w="3325" w:type="dxa"/>
            <w:tcBorders>
              <w:top w:val="single" w:sz="4" w:space="0" w:color="auto"/>
              <w:left w:val="single" w:sz="4" w:space="0" w:color="auto"/>
              <w:bottom w:val="single" w:sz="4" w:space="0" w:color="auto"/>
              <w:right w:val="single" w:sz="4" w:space="0" w:color="auto"/>
            </w:tcBorders>
            <w:vAlign w:val="center"/>
            <w:hideMark/>
          </w:tcPr>
          <w:p w:rsidR="00EE3DFA" w:rsidRDefault="00EE3DFA">
            <w:pPr>
              <w:pStyle w:val="TAC"/>
            </w:pPr>
            <w:r>
              <w:rPr>
                <w:rStyle w:val="CommentReference"/>
                <w:rFonts w:cs="Arial"/>
                <w:szCs w:val="18"/>
              </w:rPr>
              <w:t>2</w:t>
            </w:r>
          </w:p>
        </w:tc>
        <w:tc>
          <w:tcPr>
            <w:tcW w:w="973" w:type="dxa"/>
            <w:tcBorders>
              <w:top w:val="single" w:sz="4" w:space="0" w:color="auto"/>
              <w:left w:val="single" w:sz="4" w:space="0" w:color="auto"/>
              <w:bottom w:val="single" w:sz="4" w:space="0" w:color="auto"/>
              <w:right w:val="single" w:sz="4" w:space="0" w:color="auto"/>
            </w:tcBorders>
            <w:vAlign w:val="center"/>
            <w:hideMark/>
          </w:tcPr>
          <w:p w:rsidR="00EE3DFA" w:rsidRDefault="00EE3DFA">
            <w:pPr>
              <w:pStyle w:val="TAC"/>
            </w:pPr>
            <w:r>
              <w:rPr>
                <w:rStyle w:val="CommentReference"/>
                <w:rFonts w:cs="Arial"/>
                <w:szCs w:val="18"/>
              </w:rPr>
              <w:t>1/2</w:t>
            </w:r>
          </w:p>
        </w:tc>
        <w:tc>
          <w:tcPr>
            <w:tcW w:w="3445" w:type="dxa"/>
            <w:tcBorders>
              <w:top w:val="single" w:sz="4" w:space="0" w:color="auto"/>
              <w:left w:val="single" w:sz="4" w:space="0" w:color="auto"/>
              <w:bottom w:val="single" w:sz="4" w:space="0" w:color="auto"/>
              <w:right w:val="single" w:sz="4" w:space="0" w:color="auto"/>
            </w:tcBorders>
            <w:vAlign w:val="center"/>
            <w:hideMark/>
          </w:tcPr>
          <w:p w:rsidR="00EE3DFA" w:rsidRDefault="00EE3DFA">
            <w:pPr>
              <w:pStyle w:val="TAC"/>
            </w:pPr>
            <w:r>
              <w:rPr>
                <w:rStyle w:val="CommentReference"/>
                <w:rFonts w:cs="Arial"/>
                <w:szCs w:val="18"/>
              </w:rPr>
              <w:t xml:space="preserve">{0, if </w:t>
            </w:r>
            <w:r>
              <w:rPr>
                <w:noProof/>
                <w:position w:val="-6"/>
                <w:lang w:val="en-US" w:eastAsia="zh-TW"/>
              </w:rPr>
              <w:drawing>
                <wp:inline distT="0" distB="0" distL="0" distR="0">
                  <wp:extent cx="90805" cy="181610"/>
                  <wp:effectExtent l="0" t="0" r="4445" b="889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0805" cy="18161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val="en-US" w:eastAsia="zh-TW"/>
              </w:rPr>
              <w:drawing>
                <wp:inline distT="0" distB="0" distL="0" distR="0">
                  <wp:extent cx="481330" cy="21399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1330" cy="213995"/>
                          </a:xfrm>
                          <a:prstGeom prst="rect">
                            <a:avLst/>
                          </a:prstGeom>
                          <a:noFill/>
                          <a:ln>
                            <a:noFill/>
                          </a:ln>
                        </pic:spPr>
                      </pic:pic>
                    </a:graphicData>
                  </a:graphic>
                </wp:inline>
              </w:drawing>
            </w:r>
            <w:r>
              <w:t xml:space="preserve">, if </w:t>
            </w:r>
            <w:r>
              <w:rPr>
                <w:noProof/>
                <w:position w:val="-6"/>
                <w:lang w:val="en-US" w:eastAsia="zh-TW"/>
              </w:rPr>
              <w:drawing>
                <wp:inline distT="0" distB="0" distL="0" distR="0">
                  <wp:extent cx="90805" cy="181610"/>
                  <wp:effectExtent l="0" t="0" r="4445" b="889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0805" cy="181610"/>
                          </a:xfrm>
                          <a:prstGeom prst="rect">
                            <a:avLst/>
                          </a:prstGeom>
                          <a:noFill/>
                          <a:ln>
                            <a:noFill/>
                          </a:ln>
                        </pic:spPr>
                      </pic:pic>
                    </a:graphicData>
                  </a:graphic>
                </wp:inline>
              </w:drawing>
            </w:r>
            <w:r>
              <w:t xml:space="preserve"> is odd</w:t>
            </w:r>
            <w:r>
              <w:rPr>
                <w:rStyle w:val="CommentReference"/>
                <w:rFonts w:cs="Arial"/>
                <w:szCs w:val="18"/>
              </w:rPr>
              <w:t>}</w:t>
            </w:r>
          </w:p>
        </w:tc>
      </w:tr>
      <w:tr w:rsidR="00EE3DFA" w:rsidTr="00EE3DFA">
        <w:trPr>
          <w:cantSplit/>
        </w:trPr>
        <w:tc>
          <w:tcPr>
            <w:tcW w:w="805" w:type="dxa"/>
            <w:tcBorders>
              <w:top w:val="single" w:sz="4" w:space="0" w:color="auto"/>
              <w:left w:val="single" w:sz="4" w:space="0" w:color="auto"/>
              <w:bottom w:val="single" w:sz="4" w:space="0" w:color="auto"/>
              <w:right w:val="double" w:sz="4" w:space="0" w:color="auto"/>
            </w:tcBorders>
            <w:vAlign w:val="center"/>
            <w:hideMark/>
          </w:tcPr>
          <w:p w:rsidR="00EE3DFA" w:rsidRDefault="00EE3DFA">
            <w:pPr>
              <w:pStyle w:val="TAC"/>
            </w:pPr>
            <w:r>
              <w:t>6</w:t>
            </w:r>
          </w:p>
        </w:tc>
        <w:tc>
          <w:tcPr>
            <w:tcW w:w="885" w:type="dxa"/>
            <w:tcBorders>
              <w:top w:val="single" w:sz="4" w:space="0" w:color="auto"/>
              <w:left w:val="double" w:sz="4" w:space="0" w:color="auto"/>
              <w:bottom w:val="single" w:sz="4" w:space="0" w:color="auto"/>
              <w:right w:val="single" w:sz="4" w:space="0" w:color="auto"/>
            </w:tcBorders>
            <w:vAlign w:val="center"/>
            <w:hideMark/>
          </w:tcPr>
          <w:p w:rsidR="00EE3DFA" w:rsidRDefault="00EE3DFA">
            <w:pPr>
              <w:pStyle w:val="TAC"/>
            </w:pPr>
            <w:r>
              <w:rPr>
                <w:rStyle w:val="CommentReference"/>
                <w:rFonts w:cs="Arial"/>
                <w:szCs w:val="18"/>
              </w:rPr>
              <w:t>7</w:t>
            </w:r>
          </w:p>
        </w:tc>
        <w:tc>
          <w:tcPr>
            <w:tcW w:w="3325" w:type="dxa"/>
            <w:tcBorders>
              <w:top w:val="single" w:sz="4" w:space="0" w:color="auto"/>
              <w:left w:val="single" w:sz="4" w:space="0" w:color="auto"/>
              <w:bottom w:val="single" w:sz="4" w:space="0" w:color="auto"/>
              <w:right w:val="single" w:sz="4" w:space="0" w:color="auto"/>
            </w:tcBorders>
            <w:vAlign w:val="center"/>
            <w:hideMark/>
          </w:tcPr>
          <w:p w:rsidR="00EE3DFA" w:rsidRDefault="00EE3DFA">
            <w:pPr>
              <w:pStyle w:val="TAC"/>
            </w:pPr>
            <w:r>
              <w:rPr>
                <w:rStyle w:val="CommentReference"/>
                <w:rFonts w:cs="Arial"/>
                <w:szCs w:val="18"/>
              </w:rPr>
              <w:t>1</w:t>
            </w:r>
          </w:p>
        </w:tc>
        <w:tc>
          <w:tcPr>
            <w:tcW w:w="973" w:type="dxa"/>
            <w:tcBorders>
              <w:top w:val="single" w:sz="4" w:space="0" w:color="auto"/>
              <w:left w:val="single" w:sz="4" w:space="0" w:color="auto"/>
              <w:bottom w:val="single" w:sz="4" w:space="0" w:color="auto"/>
              <w:right w:val="single" w:sz="4" w:space="0" w:color="auto"/>
            </w:tcBorders>
            <w:vAlign w:val="center"/>
            <w:hideMark/>
          </w:tcPr>
          <w:p w:rsidR="00EE3DFA" w:rsidRDefault="00EE3DFA">
            <w:pPr>
              <w:pStyle w:val="TAC"/>
            </w:pPr>
            <w:r>
              <w:rPr>
                <w:rStyle w:val="CommentReference"/>
                <w:rFonts w:cs="Arial"/>
                <w:szCs w:val="18"/>
              </w:rPr>
              <w:t>1</w:t>
            </w:r>
          </w:p>
        </w:tc>
        <w:tc>
          <w:tcPr>
            <w:tcW w:w="3445" w:type="dxa"/>
            <w:tcBorders>
              <w:top w:val="single" w:sz="4" w:space="0" w:color="auto"/>
              <w:left w:val="single" w:sz="4" w:space="0" w:color="auto"/>
              <w:bottom w:val="single" w:sz="4" w:space="0" w:color="auto"/>
              <w:right w:val="single" w:sz="4" w:space="0" w:color="auto"/>
            </w:tcBorders>
            <w:vAlign w:val="center"/>
            <w:hideMark/>
          </w:tcPr>
          <w:p w:rsidR="00EE3DFA" w:rsidRDefault="00EE3DFA">
            <w:pPr>
              <w:pStyle w:val="TAC"/>
            </w:pPr>
            <w:r>
              <w:rPr>
                <w:rStyle w:val="CommentReference"/>
                <w:rFonts w:cs="Arial"/>
                <w:szCs w:val="18"/>
              </w:rPr>
              <w:t>0</w:t>
            </w:r>
          </w:p>
        </w:tc>
      </w:tr>
      <w:tr w:rsidR="00EE3DFA" w:rsidTr="00EE3DFA">
        <w:trPr>
          <w:cantSplit/>
        </w:trPr>
        <w:tc>
          <w:tcPr>
            <w:tcW w:w="805" w:type="dxa"/>
            <w:tcBorders>
              <w:top w:val="single" w:sz="4" w:space="0" w:color="auto"/>
              <w:left w:val="single" w:sz="4" w:space="0" w:color="auto"/>
              <w:bottom w:val="single" w:sz="4" w:space="0" w:color="auto"/>
              <w:right w:val="double" w:sz="4" w:space="0" w:color="auto"/>
            </w:tcBorders>
            <w:vAlign w:val="center"/>
            <w:hideMark/>
          </w:tcPr>
          <w:p w:rsidR="00EE3DFA" w:rsidRDefault="00EE3DFA">
            <w:pPr>
              <w:pStyle w:val="TAC"/>
            </w:pPr>
            <w:r>
              <w:t>7</w:t>
            </w:r>
          </w:p>
        </w:tc>
        <w:tc>
          <w:tcPr>
            <w:tcW w:w="885" w:type="dxa"/>
            <w:tcBorders>
              <w:top w:val="single" w:sz="4" w:space="0" w:color="auto"/>
              <w:left w:val="double" w:sz="4" w:space="0" w:color="auto"/>
              <w:bottom w:val="single" w:sz="4" w:space="0" w:color="auto"/>
              <w:right w:val="single" w:sz="4" w:space="0" w:color="auto"/>
            </w:tcBorders>
            <w:vAlign w:val="center"/>
            <w:hideMark/>
          </w:tcPr>
          <w:p w:rsidR="00EE3DFA" w:rsidRDefault="00EE3DFA">
            <w:pPr>
              <w:pStyle w:val="TAC"/>
            </w:pPr>
            <w:r>
              <w:rPr>
                <w:rStyle w:val="CommentReference"/>
                <w:rFonts w:cs="Arial"/>
                <w:szCs w:val="18"/>
              </w:rPr>
              <w:t>7</w:t>
            </w:r>
          </w:p>
        </w:tc>
        <w:tc>
          <w:tcPr>
            <w:tcW w:w="3325" w:type="dxa"/>
            <w:tcBorders>
              <w:top w:val="single" w:sz="4" w:space="0" w:color="auto"/>
              <w:left w:val="single" w:sz="4" w:space="0" w:color="auto"/>
              <w:bottom w:val="single" w:sz="4" w:space="0" w:color="auto"/>
              <w:right w:val="single" w:sz="4" w:space="0" w:color="auto"/>
            </w:tcBorders>
            <w:vAlign w:val="center"/>
            <w:hideMark/>
          </w:tcPr>
          <w:p w:rsidR="00EE3DFA" w:rsidRDefault="00EE3DFA">
            <w:pPr>
              <w:pStyle w:val="TAC"/>
            </w:pPr>
            <w:r>
              <w:rPr>
                <w:rStyle w:val="CommentReference"/>
                <w:rFonts w:cs="Arial"/>
                <w:szCs w:val="18"/>
              </w:rPr>
              <w:t>2</w:t>
            </w:r>
          </w:p>
        </w:tc>
        <w:tc>
          <w:tcPr>
            <w:tcW w:w="973" w:type="dxa"/>
            <w:tcBorders>
              <w:top w:val="single" w:sz="4" w:space="0" w:color="auto"/>
              <w:left w:val="single" w:sz="4" w:space="0" w:color="auto"/>
              <w:bottom w:val="single" w:sz="4" w:space="0" w:color="auto"/>
              <w:right w:val="single" w:sz="4" w:space="0" w:color="auto"/>
            </w:tcBorders>
            <w:vAlign w:val="center"/>
            <w:hideMark/>
          </w:tcPr>
          <w:p w:rsidR="00EE3DFA" w:rsidRDefault="00EE3DFA">
            <w:pPr>
              <w:pStyle w:val="TAC"/>
            </w:pPr>
            <w:r>
              <w:rPr>
                <w:rStyle w:val="CommentReference"/>
                <w:rFonts w:cs="Arial"/>
                <w:szCs w:val="18"/>
              </w:rPr>
              <w:t>1/2</w:t>
            </w:r>
          </w:p>
        </w:tc>
        <w:tc>
          <w:tcPr>
            <w:tcW w:w="3445" w:type="dxa"/>
            <w:tcBorders>
              <w:top w:val="single" w:sz="4" w:space="0" w:color="auto"/>
              <w:left w:val="single" w:sz="4" w:space="0" w:color="auto"/>
              <w:bottom w:val="single" w:sz="4" w:space="0" w:color="auto"/>
              <w:right w:val="single" w:sz="4" w:space="0" w:color="auto"/>
            </w:tcBorders>
            <w:vAlign w:val="center"/>
            <w:hideMark/>
          </w:tcPr>
          <w:p w:rsidR="00EE3DFA" w:rsidRDefault="00EE3DFA">
            <w:pPr>
              <w:pStyle w:val="TAC"/>
            </w:pPr>
            <w:r>
              <w:rPr>
                <w:rStyle w:val="CommentReference"/>
                <w:rFonts w:cs="Arial"/>
                <w:szCs w:val="18"/>
              </w:rPr>
              <w:t xml:space="preserve">{0, if </w:t>
            </w:r>
            <w:r>
              <w:rPr>
                <w:noProof/>
                <w:position w:val="-6"/>
                <w:lang w:val="en-US" w:eastAsia="zh-TW"/>
              </w:rPr>
              <w:drawing>
                <wp:inline distT="0" distB="0" distL="0" distR="0">
                  <wp:extent cx="90805" cy="181610"/>
                  <wp:effectExtent l="0" t="0" r="4445"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0805" cy="18161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val="en-US" w:eastAsia="zh-TW"/>
              </w:rPr>
              <w:drawing>
                <wp:inline distT="0" distB="0" distL="0" distR="0">
                  <wp:extent cx="481330" cy="21399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1330" cy="213995"/>
                          </a:xfrm>
                          <a:prstGeom prst="rect">
                            <a:avLst/>
                          </a:prstGeom>
                          <a:noFill/>
                          <a:ln>
                            <a:noFill/>
                          </a:ln>
                        </pic:spPr>
                      </pic:pic>
                    </a:graphicData>
                  </a:graphic>
                </wp:inline>
              </w:drawing>
            </w:r>
            <w:r>
              <w:t xml:space="preserve">, if </w:t>
            </w:r>
            <w:r>
              <w:rPr>
                <w:noProof/>
                <w:position w:val="-6"/>
                <w:lang w:val="en-US" w:eastAsia="zh-TW"/>
              </w:rPr>
              <w:drawing>
                <wp:inline distT="0" distB="0" distL="0" distR="0">
                  <wp:extent cx="90805" cy="181610"/>
                  <wp:effectExtent l="0" t="0" r="4445" b="889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0805" cy="181610"/>
                          </a:xfrm>
                          <a:prstGeom prst="rect">
                            <a:avLst/>
                          </a:prstGeom>
                          <a:noFill/>
                          <a:ln>
                            <a:noFill/>
                          </a:ln>
                        </pic:spPr>
                      </pic:pic>
                    </a:graphicData>
                  </a:graphic>
                </wp:inline>
              </w:drawing>
            </w:r>
            <w:r>
              <w:t xml:space="preserve"> is odd</w:t>
            </w:r>
            <w:r>
              <w:rPr>
                <w:rStyle w:val="CommentReference"/>
                <w:rFonts w:cs="Arial"/>
                <w:szCs w:val="18"/>
              </w:rPr>
              <w:t>}</w:t>
            </w:r>
          </w:p>
        </w:tc>
      </w:tr>
      <w:tr w:rsidR="00EE3DFA" w:rsidTr="00EE3DFA">
        <w:trPr>
          <w:cantSplit/>
        </w:trPr>
        <w:tc>
          <w:tcPr>
            <w:tcW w:w="805" w:type="dxa"/>
            <w:tcBorders>
              <w:top w:val="single" w:sz="4" w:space="0" w:color="auto"/>
              <w:left w:val="single" w:sz="4" w:space="0" w:color="auto"/>
              <w:bottom w:val="single" w:sz="4" w:space="0" w:color="auto"/>
              <w:right w:val="double" w:sz="4" w:space="0" w:color="auto"/>
            </w:tcBorders>
            <w:vAlign w:val="center"/>
            <w:hideMark/>
          </w:tcPr>
          <w:p w:rsidR="00EE3DFA" w:rsidRDefault="00EE3DFA">
            <w:pPr>
              <w:pStyle w:val="TAC"/>
            </w:pPr>
            <w:r>
              <w:t>8</w:t>
            </w:r>
          </w:p>
        </w:tc>
        <w:tc>
          <w:tcPr>
            <w:tcW w:w="885" w:type="dxa"/>
            <w:tcBorders>
              <w:top w:val="single" w:sz="4" w:space="0" w:color="auto"/>
              <w:left w:val="double" w:sz="4" w:space="0" w:color="auto"/>
              <w:bottom w:val="single" w:sz="4" w:space="0" w:color="auto"/>
              <w:right w:val="single" w:sz="4" w:space="0" w:color="auto"/>
            </w:tcBorders>
            <w:vAlign w:val="center"/>
            <w:hideMark/>
          </w:tcPr>
          <w:p w:rsidR="00EE3DFA" w:rsidRDefault="00EE3DFA">
            <w:pPr>
              <w:pStyle w:val="TAC"/>
            </w:pPr>
            <w:r>
              <w:rPr>
                <w:rStyle w:val="CommentReference"/>
                <w:rFonts w:cs="Arial"/>
                <w:szCs w:val="18"/>
              </w:rPr>
              <w:t>0</w:t>
            </w:r>
          </w:p>
        </w:tc>
        <w:tc>
          <w:tcPr>
            <w:tcW w:w="3325" w:type="dxa"/>
            <w:tcBorders>
              <w:top w:val="single" w:sz="4" w:space="0" w:color="auto"/>
              <w:left w:val="single" w:sz="4" w:space="0" w:color="auto"/>
              <w:bottom w:val="single" w:sz="4" w:space="0" w:color="auto"/>
              <w:right w:val="single" w:sz="4" w:space="0" w:color="auto"/>
            </w:tcBorders>
            <w:vAlign w:val="center"/>
            <w:hideMark/>
          </w:tcPr>
          <w:p w:rsidR="00EE3DFA" w:rsidRDefault="00EE3DFA">
            <w:pPr>
              <w:pStyle w:val="TAC"/>
            </w:pPr>
            <w:r>
              <w:rPr>
                <w:rStyle w:val="CommentReference"/>
                <w:rFonts w:cs="Arial"/>
                <w:szCs w:val="18"/>
              </w:rPr>
              <w:t>1</w:t>
            </w:r>
          </w:p>
        </w:tc>
        <w:tc>
          <w:tcPr>
            <w:tcW w:w="973" w:type="dxa"/>
            <w:tcBorders>
              <w:top w:val="single" w:sz="4" w:space="0" w:color="auto"/>
              <w:left w:val="single" w:sz="4" w:space="0" w:color="auto"/>
              <w:bottom w:val="single" w:sz="4" w:space="0" w:color="auto"/>
              <w:right w:val="single" w:sz="4" w:space="0" w:color="auto"/>
            </w:tcBorders>
            <w:vAlign w:val="center"/>
            <w:hideMark/>
          </w:tcPr>
          <w:p w:rsidR="00EE3DFA" w:rsidRDefault="00EE3DFA">
            <w:pPr>
              <w:pStyle w:val="TAC"/>
            </w:pPr>
            <w:r>
              <w:rPr>
                <w:rStyle w:val="CommentReference"/>
                <w:rFonts w:cs="Arial"/>
                <w:szCs w:val="18"/>
              </w:rPr>
              <w:t>2</w:t>
            </w:r>
          </w:p>
        </w:tc>
        <w:tc>
          <w:tcPr>
            <w:tcW w:w="3445" w:type="dxa"/>
            <w:tcBorders>
              <w:top w:val="single" w:sz="4" w:space="0" w:color="auto"/>
              <w:left w:val="single" w:sz="4" w:space="0" w:color="auto"/>
              <w:bottom w:val="single" w:sz="4" w:space="0" w:color="auto"/>
              <w:right w:val="single" w:sz="4" w:space="0" w:color="auto"/>
            </w:tcBorders>
            <w:vAlign w:val="center"/>
            <w:hideMark/>
          </w:tcPr>
          <w:p w:rsidR="00EE3DFA" w:rsidRDefault="00EE3DFA">
            <w:pPr>
              <w:pStyle w:val="TAC"/>
            </w:pPr>
            <w:r>
              <w:rPr>
                <w:rStyle w:val="CommentReference"/>
                <w:rFonts w:cs="Arial"/>
                <w:szCs w:val="18"/>
              </w:rPr>
              <w:t>0</w:t>
            </w:r>
          </w:p>
        </w:tc>
      </w:tr>
      <w:tr w:rsidR="00EE3DFA" w:rsidTr="00EE3DFA">
        <w:trPr>
          <w:cantSplit/>
        </w:trPr>
        <w:tc>
          <w:tcPr>
            <w:tcW w:w="805" w:type="dxa"/>
            <w:tcBorders>
              <w:top w:val="single" w:sz="4" w:space="0" w:color="auto"/>
              <w:left w:val="single" w:sz="4" w:space="0" w:color="auto"/>
              <w:bottom w:val="single" w:sz="4" w:space="0" w:color="auto"/>
              <w:right w:val="double" w:sz="4" w:space="0" w:color="auto"/>
            </w:tcBorders>
            <w:vAlign w:val="center"/>
            <w:hideMark/>
          </w:tcPr>
          <w:p w:rsidR="00EE3DFA" w:rsidRDefault="00EE3DFA">
            <w:pPr>
              <w:pStyle w:val="TAC"/>
            </w:pPr>
            <w:r>
              <w:t>9</w:t>
            </w:r>
          </w:p>
        </w:tc>
        <w:tc>
          <w:tcPr>
            <w:tcW w:w="885" w:type="dxa"/>
            <w:tcBorders>
              <w:top w:val="single" w:sz="4" w:space="0" w:color="auto"/>
              <w:left w:val="double" w:sz="4" w:space="0" w:color="auto"/>
              <w:bottom w:val="single" w:sz="4" w:space="0" w:color="auto"/>
              <w:right w:val="single" w:sz="4" w:space="0" w:color="auto"/>
            </w:tcBorders>
            <w:vAlign w:val="center"/>
            <w:hideMark/>
          </w:tcPr>
          <w:p w:rsidR="00EE3DFA" w:rsidRDefault="00EE3DFA">
            <w:pPr>
              <w:pStyle w:val="TAC"/>
            </w:pPr>
            <w:r>
              <w:rPr>
                <w:rStyle w:val="CommentReference"/>
                <w:rFonts w:cs="Arial"/>
                <w:szCs w:val="18"/>
              </w:rPr>
              <w:t>5</w:t>
            </w:r>
          </w:p>
        </w:tc>
        <w:tc>
          <w:tcPr>
            <w:tcW w:w="3325" w:type="dxa"/>
            <w:tcBorders>
              <w:top w:val="single" w:sz="4" w:space="0" w:color="auto"/>
              <w:left w:val="single" w:sz="4" w:space="0" w:color="auto"/>
              <w:bottom w:val="single" w:sz="4" w:space="0" w:color="auto"/>
              <w:right w:val="single" w:sz="4" w:space="0" w:color="auto"/>
            </w:tcBorders>
            <w:vAlign w:val="center"/>
            <w:hideMark/>
          </w:tcPr>
          <w:p w:rsidR="00EE3DFA" w:rsidRDefault="00EE3DFA">
            <w:pPr>
              <w:pStyle w:val="TAC"/>
            </w:pPr>
            <w:r>
              <w:rPr>
                <w:rStyle w:val="CommentReference"/>
                <w:rFonts w:cs="Arial"/>
                <w:szCs w:val="18"/>
              </w:rPr>
              <w:t>1</w:t>
            </w:r>
          </w:p>
        </w:tc>
        <w:tc>
          <w:tcPr>
            <w:tcW w:w="973" w:type="dxa"/>
            <w:tcBorders>
              <w:top w:val="single" w:sz="4" w:space="0" w:color="auto"/>
              <w:left w:val="single" w:sz="4" w:space="0" w:color="auto"/>
              <w:bottom w:val="single" w:sz="4" w:space="0" w:color="auto"/>
              <w:right w:val="single" w:sz="4" w:space="0" w:color="auto"/>
            </w:tcBorders>
            <w:vAlign w:val="center"/>
            <w:hideMark/>
          </w:tcPr>
          <w:p w:rsidR="00EE3DFA" w:rsidRDefault="00EE3DFA">
            <w:pPr>
              <w:pStyle w:val="TAC"/>
            </w:pPr>
            <w:r>
              <w:rPr>
                <w:rStyle w:val="CommentReference"/>
                <w:rFonts w:cs="Arial"/>
                <w:szCs w:val="18"/>
              </w:rPr>
              <w:t>2</w:t>
            </w:r>
          </w:p>
        </w:tc>
        <w:tc>
          <w:tcPr>
            <w:tcW w:w="3445" w:type="dxa"/>
            <w:tcBorders>
              <w:top w:val="single" w:sz="4" w:space="0" w:color="auto"/>
              <w:left w:val="single" w:sz="4" w:space="0" w:color="auto"/>
              <w:bottom w:val="single" w:sz="4" w:space="0" w:color="auto"/>
              <w:right w:val="single" w:sz="4" w:space="0" w:color="auto"/>
            </w:tcBorders>
            <w:vAlign w:val="center"/>
            <w:hideMark/>
          </w:tcPr>
          <w:p w:rsidR="00EE3DFA" w:rsidRDefault="00EE3DFA">
            <w:pPr>
              <w:pStyle w:val="TAC"/>
            </w:pPr>
            <w:r>
              <w:rPr>
                <w:rStyle w:val="CommentReference"/>
                <w:rFonts w:cs="Arial"/>
                <w:szCs w:val="18"/>
              </w:rPr>
              <w:t>0</w:t>
            </w:r>
          </w:p>
        </w:tc>
      </w:tr>
      <w:tr w:rsidR="00EE3DFA" w:rsidTr="00EE3DFA">
        <w:trPr>
          <w:cantSplit/>
        </w:trPr>
        <w:tc>
          <w:tcPr>
            <w:tcW w:w="805" w:type="dxa"/>
            <w:tcBorders>
              <w:top w:val="single" w:sz="4" w:space="0" w:color="auto"/>
              <w:left w:val="single" w:sz="4" w:space="0" w:color="auto"/>
              <w:bottom w:val="single" w:sz="4" w:space="0" w:color="auto"/>
              <w:right w:val="double" w:sz="4" w:space="0" w:color="auto"/>
            </w:tcBorders>
            <w:vAlign w:val="center"/>
            <w:hideMark/>
          </w:tcPr>
          <w:p w:rsidR="00EE3DFA" w:rsidRDefault="00EE3DFA">
            <w:pPr>
              <w:pStyle w:val="TAC"/>
              <w:rPr>
                <w:color w:val="FF0000"/>
              </w:rPr>
            </w:pPr>
            <w:r>
              <w:rPr>
                <w:color w:val="FF0000"/>
              </w:rPr>
              <w:t>10</w:t>
            </w:r>
          </w:p>
        </w:tc>
        <w:tc>
          <w:tcPr>
            <w:tcW w:w="885" w:type="dxa"/>
            <w:tcBorders>
              <w:top w:val="single" w:sz="4" w:space="0" w:color="auto"/>
              <w:left w:val="double" w:sz="4" w:space="0" w:color="auto"/>
              <w:bottom w:val="single" w:sz="4" w:space="0" w:color="auto"/>
              <w:right w:val="single" w:sz="4" w:space="0" w:color="auto"/>
            </w:tcBorders>
            <w:vAlign w:val="center"/>
            <w:hideMark/>
          </w:tcPr>
          <w:p w:rsidR="00EE3DFA" w:rsidRDefault="00EE3DFA">
            <w:pPr>
              <w:pStyle w:val="TAC"/>
              <w:rPr>
                <w:color w:val="FF0000"/>
                <w:lang w:val="en-US"/>
              </w:rPr>
            </w:pPr>
            <w:r>
              <w:rPr>
                <w:rStyle w:val="CommentReference"/>
                <w:rFonts w:cs="Arial"/>
                <w:color w:val="FF0000"/>
                <w:szCs w:val="18"/>
              </w:rPr>
              <w:t>0</w:t>
            </w:r>
          </w:p>
        </w:tc>
        <w:tc>
          <w:tcPr>
            <w:tcW w:w="3325" w:type="dxa"/>
            <w:tcBorders>
              <w:top w:val="single" w:sz="4" w:space="0" w:color="auto"/>
              <w:left w:val="single" w:sz="4" w:space="0" w:color="auto"/>
              <w:bottom w:val="single" w:sz="4" w:space="0" w:color="auto"/>
              <w:right w:val="single" w:sz="4" w:space="0" w:color="auto"/>
            </w:tcBorders>
            <w:vAlign w:val="center"/>
            <w:hideMark/>
          </w:tcPr>
          <w:p w:rsidR="00EE3DFA" w:rsidRDefault="00EE3DFA">
            <w:pPr>
              <w:pStyle w:val="TAC"/>
              <w:rPr>
                <w:color w:val="FF0000"/>
                <w:lang w:val="en-US"/>
              </w:rPr>
            </w:pPr>
            <w:r>
              <w:rPr>
                <w:rStyle w:val="CommentReference"/>
                <w:rFonts w:cs="Arial"/>
                <w:color w:val="FF0000"/>
                <w:szCs w:val="18"/>
              </w:rPr>
              <w:t>2</w:t>
            </w:r>
          </w:p>
        </w:tc>
        <w:tc>
          <w:tcPr>
            <w:tcW w:w="973" w:type="dxa"/>
            <w:tcBorders>
              <w:top w:val="single" w:sz="4" w:space="0" w:color="auto"/>
              <w:left w:val="single" w:sz="4" w:space="0" w:color="auto"/>
              <w:bottom w:val="single" w:sz="4" w:space="0" w:color="auto"/>
              <w:right w:val="single" w:sz="4" w:space="0" w:color="auto"/>
            </w:tcBorders>
            <w:vAlign w:val="center"/>
            <w:hideMark/>
          </w:tcPr>
          <w:p w:rsidR="00EE3DFA" w:rsidRDefault="00EE3DFA">
            <w:pPr>
              <w:pStyle w:val="TAC"/>
              <w:rPr>
                <w:color w:val="FF0000"/>
                <w:lang w:val="en-US"/>
              </w:rPr>
            </w:pPr>
            <w:r>
              <w:rPr>
                <w:rStyle w:val="CommentReference"/>
                <w:rFonts w:cs="Arial"/>
                <w:color w:val="FF0000"/>
                <w:szCs w:val="18"/>
              </w:rPr>
              <w:t>1/2</w:t>
            </w:r>
          </w:p>
        </w:tc>
        <w:tc>
          <w:tcPr>
            <w:tcW w:w="3445" w:type="dxa"/>
            <w:tcBorders>
              <w:top w:val="single" w:sz="4" w:space="0" w:color="auto"/>
              <w:left w:val="single" w:sz="4" w:space="0" w:color="auto"/>
              <w:bottom w:val="single" w:sz="4" w:space="0" w:color="auto"/>
              <w:right w:val="single" w:sz="4" w:space="0" w:color="auto"/>
            </w:tcBorders>
            <w:vAlign w:val="center"/>
            <w:hideMark/>
          </w:tcPr>
          <w:p w:rsidR="00EE3DFA" w:rsidRDefault="00EE3DFA">
            <w:pPr>
              <w:pStyle w:val="TAC"/>
              <w:rPr>
                <w:color w:val="FF0000"/>
                <w:lang w:val="en-US"/>
              </w:rPr>
            </w:pPr>
            <w:r>
              <w:rPr>
                <w:rStyle w:val="CommentReference"/>
                <w:rFonts w:cs="Arial"/>
                <w:color w:val="FF0000"/>
                <w:szCs w:val="18"/>
              </w:rPr>
              <w:t xml:space="preserve">{0, if </w:t>
            </w:r>
            <w:r>
              <w:rPr>
                <w:noProof/>
                <w:color w:val="FF0000"/>
                <w:position w:val="-6"/>
                <w:lang w:val="en-US" w:eastAsia="zh-TW"/>
              </w:rPr>
              <w:drawing>
                <wp:inline distT="0" distB="0" distL="0" distR="0">
                  <wp:extent cx="90805" cy="181610"/>
                  <wp:effectExtent l="0" t="0" r="4445"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0805" cy="181610"/>
                          </a:xfrm>
                          <a:prstGeom prst="rect">
                            <a:avLst/>
                          </a:prstGeom>
                          <a:noFill/>
                          <a:ln>
                            <a:noFill/>
                          </a:ln>
                        </pic:spPr>
                      </pic:pic>
                    </a:graphicData>
                  </a:graphic>
                </wp:inline>
              </w:drawing>
            </w:r>
            <w:r>
              <w:rPr>
                <w:color w:val="FF0000"/>
              </w:rPr>
              <w:t xml:space="preserve"> is even}</w:t>
            </w:r>
            <w:r>
              <w:rPr>
                <w:rStyle w:val="CommentReference"/>
                <w:rFonts w:cs="Arial"/>
                <w:color w:val="FF0000"/>
                <w:szCs w:val="18"/>
              </w:rPr>
              <w:t>, {</w:t>
            </w:r>
            <w:r>
              <w:rPr>
                <w:color w:val="FF0000"/>
              </w:rPr>
              <w:t xml:space="preserve">7, if </w:t>
            </w:r>
            <w:r>
              <w:rPr>
                <w:noProof/>
                <w:color w:val="FF0000"/>
                <w:position w:val="-6"/>
                <w:lang w:val="en-US" w:eastAsia="zh-TW"/>
              </w:rPr>
              <w:drawing>
                <wp:inline distT="0" distB="0" distL="0" distR="0">
                  <wp:extent cx="90805" cy="181610"/>
                  <wp:effectExtent l="0" t="0" r="4445" b="889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0805" cy="181610"/>
                          </a:xfrm>
                          <a:prstGeom prst="rect">
                            <a:avLst/>
                          </a:prstGeom>
                          <a:noFill/>
                          <a:ln>
                            <a:noFill/>
                          </a:ln>
                        </pic:spPr>
                      </pic:pic>
                    </a:graphicData>
                  </a:graphic>
                </wp:inline>
              </w:drawing>
            </w:r>
            <w:r>
              <w:rPr>
                <w:color w:val="FF0000"/>
              </w:rPr>
              <w:t xml:space="preserve"> is odd</w:t>
            </w:r>
            <w:r>
              <w:rPr>
                <w:rStyle w:val="CommentReference"/>
                <w:rFonts w:cs="Arial"/>
                <w:color w:val="FF0000"/>
                <w:szCs w:val="18"/>
              </w:rPr>
              <w:t>}</w:t>
            </w:r>
          </w:p>
        </w:tc>
      </w:tr>
      <w:tr w:rsidR="00EE3DFA" w:rsidTr="00EE3DFA">
        <w:trPr>
          <w:cantSplit/>
        </w:trPr>
        <w:tc>
          <w:tcPr>
            <w:tcW w:w="805" w:type="dxa"/>
            <w:tcBorders>
              <w:top w:val="single" w:sz="4" w:space="0" w:color="auto"/>
              <w:left w:val="single" w:sz="4" w:space="0" w:color="auto"/>
              <w:bottom w:val="single" w:sz="4" w:space="0" w:color="auto"/>
              <w:right w:val="double" w:sz="4" w:space="0" w:color="auto"/>
            </w:tcBorders>
            <w:vAlign w:val="center"/>
            <w:hideMark/>
          </w:tcPr>
          <w:p w:rsidR="00EE3DFA" w:rsidRDefault="00EE3DFA">
            <w:pPr>
              <w:pStyle w:val="TAC"/>
              <w:rPr>
                <w:color w:val="FF0000"/>
              </w:rPr>
            </w:pPr>
            <w:r>
              <w:rPr>
                <w:color w:val="FF0000"/>
              </w:rPr>
              <w:t>11</w:t>
            </w:r>
          </w:p>
        </w:tc>
        <w:tc>
          <w:tcPr>
            <w:tcW w:w="885" w:type="dxa"/>
            <w:tcBorders>
              <w:top w:val="single" w:sz="4" w:space="0" w:color="auto"/>
              <w:left w:val="double" w:sz="4" w:space="0" w:color="auto"/>
              <w:bottom w:val="single" w:sz="4" w:space="0" w:color="auto"/>
              <w:right w:val="single" w:sz="4" w:space="0" w:color="auto"/>
            </w:tcBorders>
            <w:vAlign w:val="center"/>
            <w:hideMark/>
          </w:tcPr>
          <w:p w:rsidR="00EE3DFA" w:rsidRDefault="00EE3DFA">
            <w:pPr>
              <w:pStyle w:val="TAC"/>
              <w:rPr>
                <w:color w:val="FF0000"/>
              </w:rPr>
            </w:pPr>
            <w:r>
              <w:rPr>
                <w:rStyle w:val="CommentReference"/>
                <w:rFonts w:cs="Arial"/>
                <w:color w:val="FF0000"/>
                <w:szCs w:val="18"/>
              </w:rPr>
              <w:t>2</w:t>
            </w:r>
          </w:p>
        </w:tc>
        <w:tc>
          <w:tcPr>
            <w:tcW w:w="3325" w:type="dxa"/>
            <w:tcBorders>
              <w:top w:val="single" w:sz="4" w:space="0" w:color="auto"/>
              <w:left w:val="single" w:sz="4" w:space="0" w:color="auto"/>
              <w:bottom w:val="single" w:sz="4" w:space="0" w:color="auto"/>
              <w:right w:val="single" w:sz="4" w:space="0" w:color="auto"/>
            </w:tcBorders>
            <w:vAlign w:val="center"/>
            <w:hideMark/>
          </w:tcPr>
          <w:p w:rsidR="00EE3DFA" w:rsidRDefault="00EE3DFA">
            <w:pPr>
              <w:pStyle w:val="TAC"/>
              <w:rPr>
                <w:color w:val="FF0000"/>
              </w:rPr>
            </w:pPr>
            <w:r>
              <w:rPr>
                <w:rStyle w:val="CommentReference"/>
                <w:rFonts w:cs="Arial"/>
                <w:color w:val="FF0000"/>
                <w:szCs w:val="18"/>
              </w:rPr>
              <w:t>2</w:t>
            </w:r>
          </w:p>
        </w:tc>
        <w:tc>
          <w:tcPr>
            <w:tcW w:w="973" w:type="dxa"/>
            <w:tcBorders>
              <w:top w:val="single" w:sz="4" w:space="0" w:color="auto"/>
              <w:left w:val="single" w:sz="4" w:space="0" w:color="auto"/>
              <w:bottom w:val="single" w:sz="4" w:space="0" w:color="auto"/>
              <w:right w:val="single" w:sz="4" w:space="0" w:color="auto"/>
            </w:tcBorders>
            <w:vAlign w:val="center"/>
            <w:hideMark/>
          </w:tcPr>
          <w:p w:rsidR="00EE3DFA" w:rsidRDefault="00EE3DFA">
            <w:pPr>
              <w:pStyle w:val="TAC"/>
              <w:rPr>
                <w:color w:val="FF0000"/>
              </w:rPr>
            </w:pPr>
            <w:r>
              <w:rPr>
                <w:rStyle w:val="CommentReference"/>
                <w:rFonts w:cs="Arial"/>
                <w:color w:val="FF0000"/>
                <w:szCs w:val="18"/>
              </w:rPr>
              <w:t>1/2</w:t>
            </w:r>
          </w:p>
        </w:tc>
        <w:tc>
          <w:tcPr>
            <w:tcW w:w="3445" w:type="dxa"/>
            <w:tcBorders>
              <w:top w:val="single" w:sz="4" w:space="0" w:color="auto"/>
              <w:left w:val="single" w:sz="4" w:space="0" w:color="auto"/>
              <w:bottom w:val="single" w:sz="4" w:space="0" w:color="auto"/>
              <w:right w:val="single" w:sz="4" w:space="0" w:color="auto"/>
            </w:tcBorders>
            <w:vAlign w:val="center"/>
            <w:hideMark/>
          </w:tcPr>
          <w:p w:rsidR="00EE3DFA" w:rsidRDefault="00EE3DFA">
            <w:pPr>
              <w:pStyle w:val="TAC"/>
              <w:rPr>
                <w:color w:val="FF0000"/>
              </w:rPr>
            </w:pPr>
            <w:r>
              <w:rPr>
                <w:rStyle w:val="CommentReference"/>
                <w:rFonts w:cs="Arial"/>
                <w:color w:val="FF0000"/>
                <w:szCs w:val="18"/>
              </w:rPr>
              <w:t xml:space="preserve">{0, if </w:t>
            </w:r>
            <w:r>
              <w:rPr>
                <w:noProof/>
                <w:color w:val="FF0000"/>
                <w:position w:val="-6"/>
                <w:lang w:val="en-US" w:eastAsia="zh-TW"/>
              </w:rPr>
              <w:drawing>
                <wp:inline distT="0" distB="0" distL="0" distR="0">
                  <wp:extent cx="90805" cy="181610"/>
                  <wp:effectExtent l="0" t="0" r="4445" b="889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0805" cy="181610"/>
                          </a:xfrm>
                          <a:prstGeom prst="rect">
                            <a:avLst/>
                          </a:prstGeom>
                          <a:noFill/>
                          <a:ln>
                            <a:noFill/>
                          </a:ln>
                        </pic:spPr>
                      </pic:pic>
                    </a:graphicData>
                  </a:graphic>
                </wp:inline>
              </w:drawing>
            </w:r>
            <w:r>
              <w:rPr>
                <w:color w:val="FF0000"/>
              </w:rPr>
              <w:t xml:space="preserve"> is even}</w:t>
            </w:r>
            <w:r>
              <w:rPr>
                <w:rStyle w:val="CommentReference"/>
                <w:rFonts w:cs="Arial"/>
                <w:color w:val="FF0000"/>
                <w:szCs w:val="18"/>
              </w:rPr>
              <w:t>, {</w:t>
            </w:r>
            <w:r>
              <w:rPr>
                <w:color w:val="FF0000"/>
              </w:rPr>
              <w:t xml:space="preserve">7, if </w:t>
            </w:r>
            <w:r>
              <w:rPr>
                <w:noProof/>
                <w:color w:val="FF0000"/>
                <w:position w:val="-6"/>
                <w:lang w:val="en-US" w:eastAsia="zh-TW"/>
              </w:rPr>
              <w:drawing>
                <wp:inline distT="0" distB="0" distL="0" distR="0">
                  <wp:extent cx="90805" cy="181610"/>
                  <wp:effectExtent l="0" t="0" r="4445" b="889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0805" cy="181610"/>
                          </a:xfrm>
                          <a:prstGeom prst="rect">
                            <a:avLst/>
                          </a:prstGeom>
                          <a:noFill/>
                          <a:ln>
                            <a:noFill/>
                          </a:ln>
                        </pic:spPr>
                      </pic:pic>
                    </a:graphicData>
                  </a:graphic>
                </wp:inline>
              </w:drawing>
            </w:r>
            <w:r>
              <w:rPr>
                <w:color w:val="FF0000"/>
              </w:rPr>
              <w:t xml:space="preserve"> is odd</w:t>
            </w:r>
            <w:r>
              <w:rPr>
                <w:rStyle w:val="CommentReference"/>
                <w:rFonts w:cs="Arial"/>
                <w:color w:val="FF0000"/>
                <w:szCs w:val="18"/>
              </w:rPr>
              <w:t>}</w:t>
            </w:r>
          </w:p>
        </w:tc>
      </w:tr>
      <w:tr w:rsidR="00EE3DFA" w:rsidTr="00EE3DFA">
        <w:trPr>
          <w:cantSplit/>
        </w:trPr>
        <w:tc>
          <w:tcPr>
            <w:tcW w:w="805" w:type="dxa"/>
            <w:tcBorders>
              <w:top w:val="single" w:sz="4" w:space="0" w:color="auto"/>
              <w:left w:val="single" w:sz="4" w:space="0" w:color="auto"/>
              <w:bottom w:val="single" w:sz="4" w:space="0" w:color="auto"/>
              <w:right w:val="double" w:sz="4" w:space="0" w:color="auto"/>
            </w:tcBorders>
            <w:vAlign w:val="center"/>
            <w:hideMark/>
          </w:tcPr>
          <w:p w:rsidR="00EE3DFA" w:rsidRDefault="00EE3DFA">
            <w:pPr>
              <w:pStyle w:val="TAC"/>
              <w:rPr>
                <w:color w:val="FF0000"/>
              </w:rPr>
            </w:pPr>
            <w:r>
              <w:rPr>
                <w:color w:val="FF0000"/>
              </w:rPr>
              <w:t>12</w:t>
            </w:r>
          </w:p>
        </w:tc>
        <w:tc>
          <w:tcPr>
            <w:tcW w:w="885" w:type="dxa"/>
            <w:tcBorders>
              <w:top w:val="single" w:sz="4" w:space="0" w:color="auto"/>
              <w:left w:val="double" w:sz="4" w:space="0" w:color="auto"/>
              <w:bottom w:val="single" w:sz="4" w:space="0" w:color="auto"/>
              <w:right w:val="single" w:sz="4" w:space="0" w:color="auto"/>
            </w:tcBorders>
            <w:vAlign w:val="center"/>
            <w:hideMark/>
          </w:tcPr>
          <w:p w:rsidR="00EE3DFA" w:rsidRDefault="00EE3DFA">
            <w:pPr>
              <w:pStyle w:val="TAC"/>
              <w:rPr>
                <w:color w:val="FF0000"/>
              </w:rPr>
            </w:pPr>
            <w:r>
              <w:rPr>
                <w:rStyle w:val="CommentReference"/>
                <w:rFonts w:cs="Arial"/>
                <w:color w:val="FF0000"/>
                <w:szCs w:val="18"/>
              </w:rPr>
              <w:t>5</w:t>
            </w:r>
          </w:p>
        </w:tc>
        <w:tc>
          <w:tcPr>
            <w:tcW w:w="3325" w:type="dxa"/>
            <w:tcBorders>
              <w:top w:val="single" w:sz="4" w:space="0" w:color="auto"/>
              <w:left w:val="single" w:sz="4" w:space="0" w:color="auto"/>
              <w:bottom w:val="single" w:sz="4" w:space="0" w:color="auto"/>
              <w:right w:val="single" w:sz="4" w:space="0" w:color="auto"/>
            </w:tcBorders>
            <w:vAlign w:val="center"/>
            <w:hideMark/>
          </w:tcPr>
          <w:p w:rsidR="00EE3DFA" w:rsidRDefault="00EE3DFA">
            <w:pPr>
              <w:pStyle w:val="TAC"/>
              <w:rPr>
                <w:color w:val="FF0000"/>
              </w:rPr>
            </w:pPr>
            <w:r>
              <w:rPr>
                <w:rStyle w:val="CommentReference"/>
                <w:rFonts w:cs="Arial"/>
                <w:color w:val="FF0000"/>
                <w:szCs w:val="18"/>
              </w:rPr>
              <w:t>2</w:t>
            </w:r>
          </w:p>
        </w:tc>
        <w:tc>
          <w:tcPr>
            <w:tcW w:w="973" w:type="dxa"/>
            <w:tcBorders>
              <w:top w:val="single" w:sz="4" w:space="0" w:color="auto"/>
              <w:left w:val="single" w:sz="4" w:space="0" w:color="auto"/>
              <w:bottom w:val="single" w:sz="4" w:space="0" w:color="auto"/>
              <w:right w:val="single" w:sz="4" w:space="0" w:color="auto"/>
            </w:tcBorders>
            <w:vAlign w:val="center"/>
            <w:hideMark/>
          </w:tcPr>
          <w:p w:rsidR="00EE3DFA" w:rsidRDefault="00EE3DFA">
            <w:pPr>
              <w:pStyle w:val="TAC"/>
              <w:rPr>
                <w:color w:val="FF0000"/>
              </w:rPr>
            </w:pPr>
            <w:r>
              <w:rPr>
                <w:rStyle w:val="CommentReference"/>
                <w:rFonts w:cs="Arial"/>
                <w:color w:val="FF0000"/>
                <w:szCs w:val="18"/>
              </w:rPr>
              <w:t>1/2</w:t>
            </w:r>
          </w:p>
        </w:tc>
        <w:tc>
          <w:tcPr>
            <w:tcW w:w="3445" w:type="dxa"/>
            <w:tcBorders>
              <w:top w:val="single" w:sz="4" w:space="0" w:color="auto"/>
              <w:left w:val="single" w:sz="4" w:space="0" w:color="auto"/>
              <w:bottom w:val="single" w:sz="4" w:space="0" w:color="auto"/>
              <w:right w:val="single" w:sz="4" w:space="0" w:color="auto"/>
            </w:tcBorders>
            <w:vAlign w:val="center"/>
            <w:hideMark/>
          </w:tcPr>
          <w:p w:rsidR="00EE3DFA" w:rsidRDefault="00EE3DFA">
            <w:pPr>
              <w:pStyle w:val="TAC"/>
              <w:rPr>
                <w:color w:val="FF0000"/>
              </w:rPr>
            </w:pPr>
            <w:r>
              <w:rPr>
                <w:rStyle w:val="CommentReference"/>
                <w:rFonts w:cs="Arial"/>
                <w:color w:val="FF0000"/>
                <w:szCs w:val="18"/>
              </w:rPr>
              <w:t xml:space="preserve">{0, if </w:t>
            </w:r>
            <w:r>
              <w:rPr>
                <w:noProof/>
                <w:color w:val="FF0000"/>
                <w:position w:val="-6"/>
                <w:lang w:val="en-US" w:eastAsia="zh-TW"/>
              </w:rPr>
              <w:drawing>
                <wp:inline distT="0" distB="0" distL="0" distR="0">
                  <wp:extent cx="90805" cy="181610"/>
                  <wp:effectExtent l="0" t="0" r="4445"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0805" cy="181610"/>
                          </a:xfrm>
                          <a:prstGeom prst="rect">
                            <a:avLst/>
                          </a:prstGeom>
                          <a:noFill/>
                          <a:ln>
                            <a:noFill/>
                          </a:ln>
                        </pic:spPr>
                      </pic:pic>
                    </a:graphicData>
                  </a:graphic>
                </wp:inline>
              </w:drawing>
            </w:r>
            <w:r>
              <w:rPr>
                <w:color w:val="FF0000"/>
              </w:rPr>
              <w:t xml:space="preserve"> is even}</w:t>
            </w:r>
            <w:r>
              <w:rPr>
                <w:rStyle w:val="CommentReference"/>
                <w:rFonts w:cs="Arial"/>
                <w:color w:val="FF0000"/>
                <w:szCs w:val="18"/>
              </w:rPr>
              <w:t>, {</w:t>
            </w:r>
            <w:r>
              <w:rPr>
                <w:color w:val="FF0000"/>
              </w:rPr>
              <w:t xml:space="preserve">7, if </w:t>
            </w:r>
            <w:r>
              <w:rPr>
                <w:noProof/>
                <w:color w:val="FF0000"/>
                <w:position w:val="-6"/>
                <w:lang w:val="en-US" w:eastAsia="zh-TW"/>
              </w:rPr>
              <w:drawing>
                <wp:inline distT="0" distB="0" distL="0" distR="0">
                  <wp:extent cx="90805" cy="181610"/>
                  <wp:effectExtent l="0" t="0" r="4445"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0805" cy="181610"/>
                          </a:xfrm>
                          <a:prstGeom prst="rect">
                            <a:avLst/>
                          </a:prstGeom>
                          <a:noFill/>
                          <a:ln>
                            <a:noFill/>
                          </a:ln>
                        </pic:spPr>
                      </pic:pic>
                    </a:graphicData>
                  </a:graphic>
                </wp:inline>
              </w:drawing>
            </w:r>
            <w:r>
              <w:rPr>
                <w:color w:val="FF0000"/>
              </w:rPr>
              <w:t xml:space="preserve"> is odd</w:t>
            </w:r>
            <w:r>
              <w:rPr>
                <w:rStyle w:val="CommentReference"/>
                <w:rFonts w:cs="Arial"/>
                <w:color w:val="FF0000"/>
                <w:szCs w:val="18"/>
              </w:rPr>
              <w:t>}</w:t>
            </w:r>
          </w:p>
        </w:tc>
      </w:tr>
      <w:tr w:rsidR="00EE3DFA" w:rsidTr="00EE3DFA">
        <w:trPr>
          <w:cantSplit/>
        </w:trPr>
        <w:tc>
          <w:tcPr>
            <w:tcW w:w="805" w:type="dxa"/>
            <w:tcBorders>
              <w:top w:val="single" w:sz="4" w:space="0" w:color="auto"/>
              <w:left w:val="single" w:sz="4" w:space="0" w:color="auto"/>
              <w:bottom w:val="single" w:sz="4" w:space="0" w:color="auto"/>
              <w:right w:val="double" w:sz="4" w:space="0" w:color="auto"/>
            </w:tcBorders>
            <w:vAlign w:val="center"/>
            <w:hideMark/>
          </w:tcPr>
          <w:p w:rsidR="00EE3DFA" w:rsidRDefault="00EE3DFA">
            <w:pPr>
              <w:pStyle w:val="TAC"/>
              <w:rPr>
                <w:color w:val="FF0000"/>
              </w:rPr>
            </w:pPr>
            <w:r>
              <w:rPr>
                <w:color w:val="FF0000"/>
              </w:rPr>
              <w:t>13</w:t>
            </w:r>
          </w:p>
        </w:tc>
        <w:tc>
          <w:tcPr>
            <w:tcW w:w="885" w:type="dxa"/>
            <w:tcBorders>
              <w:top w:val="single" w:sz="4" w:space="0" w:color="auto"/>
              <w:left w:val="double" w:sz="4" w:space="0" w:color="auto"/>
              <w:bottom w:val="single" w:sz="4" w:space="0" w:color="auto"/>
              <w:right w:val="single" w:sz="4" w:space="0" w:color="auto"/>
            </w:tcBorders>
            <w:vAlign w:val="center"/>
            <w:hideMark/>
          </w:tcPr>
          <w:p w:rsidR="00EE3DFA" w:rsidRDefault="00EE3DFA">
            <w:pPr>
              <w:pStyle w:val="TAC"/>
              <w:rPr>
                <w:color w:val="FF0000"/>
              </w:rPr>
            </w:pPr>
            <w:r>
              <w:rPr>
                <w:rStyle w:val="CommentReference"/>
                <w:rFonts w:cs="Arial"/>
                <w:color w:val="FF0000"/>
                <w:szCs w:val="18"/>
              </w:rPr>
              <w:t>7</w:t>
            </w:r>
          </w:p>
        </w:tc>
        <w:tc>
          <w:tcPr>
            <w:tcW w:w="3325" w:type="dxa"/>
            <w:tcBorders>
              <w:top w:val="single" w:sz="4" w:space="0" w:color="auto"/>
              <w:left w:val="single" w:sz="4" w:space="0" w:color="auto"/>
              <w:bottom w:val="single" w:sz="4" w:space="0" w:color="auto"/>
              <w:right w:val="single" w:sz="4" w:space="0" w:color="auto"/>
            </w:tcBorders>
            <w:vAlign w:val="center"/>
            <w:hideMark/>
          </w:tcPr>
          <w:p w:rsidR="00EE3DFA" w:rsidRDefault="00EE3DFA">
            <w:pPr>
              <w:pStyle w:val="TAC"/>
              <w:rPr>
                <w:color w:val="FF0000"/>
              </w:rPr>
            </w:pPr>
            <w:r>
              <w:rPr>
                <w:rStyle w:val="CommentReference"/>
                <w:rFonts w:cs="Arial"/>
                <w:color w:val="FF0000"/>
                <w:szCs w:val="18"/>
              </w:rPr>
              <w:t>2</w:t>
            </w:r>
          </w:p>
        </w:tc>
        <w:tc>
          <w:tcPr>
            <w:tcW w:w="973" w:type="dxa"/>
            <w:tcBorders>
              <w:top w:val="single" w:sz="4" w:space="0" w:color="auto"/>
              <w:left w:val="single" w:sz="4" w:space="0" w:color="auto"/>
              <w:bottom w:val="single" w:sz="4" w:space="0" w:color="auto"/>
              <w:right w:val="single" w:sz="4" w:space="0" w:color="auto"/>
            </w:tcBorders>
            <w:vAlign w:val="center"/>
            <w:hideMark/>
          </w:tcPr>
          <w:p w:rsidR="00EE3DFA" w:rsidRDefault="00EE3DFA">
            <w:pPr>
              <w:pStyle w:val="TAC"/>
              <w:rPr>
                <w:color w:val="FF0000"/>
              </w:rPr>
            </w:pPr>
            <w:r>
              <w:rPr>
                <w:rStyle w:val="CommentReference"/>
                <w:rFonts w:cs="Arial"/>
                <w:color w:val="FF0000"/>
                <w:szCs w:val="18"/>
              </w:rPr>
              <w:t>1/2</w:t>
            </w:r>
          </w:p>
        </w:tc>
        <w:tc>
          <w:tcPr>
            <w:tcW w:w="3445" w:type="dxa"/>
            <w:tcBorders>
              <w:top w:val="single" w:sz="4" w:space="0" w:color="auto"/>
              <w:left w:val="single" w:sz="4" w:space="0" w:color="auto"/>
              <w:bottom w:val="single" w:sz="4" w:space="0" w:color="auto"/>
              <w:right w:val="single" w:sz="4" w:space="0" w:color="auto"/>
            </w:tcBorders>
            <w:vAlign w:val="center"/>
            <w:hideMark/>
          </w:tcPr>
          <w:p w:rsidR="00EE3DFA" w:rsidRDefault="00EE3DFA">
            <w:pPr>
              <w:pStyle w:val="TAC"/>
              <w:rPr>
                <w:color w:val="FF0000"/>
              </w:rPr>
            </w:pPr>
            <w:r>
              <w:rPr>
                <w:rStyle w:val="CommentReference"/>
                <w:rFonts w:cs="Arial"/>
                <w:color w:val="FF0000"/>
                <w:szCs w:val="18"/>
              </w:rPr>
              <w:t xml:space="preserve">{0, if </w:t>
            </w:r>
            <w:r>
              <w:rPr>
                <w:noProof/>
                <w:color w:val="FF0000"/>
                <w:position w:val="-6"/>
                <w:lang w:val="en-US" w:eastAsia="zh-TW"/>
              </w:rPr>
              <w:drawing>
                <wp:inline distT="0" distB="0" distL="0" distR="0">
                  <wp:extent cx="90805" cy="181610"/>
                  <wp:effectExtent l="0" t="0" r="444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0805" cy="181610"/>
                          </a:xfrm>
                          <a:prstGeom prst="rect">
                            <a:avLst/>
                          </a:prstGeom>
                          <a:noFill/>
                          <a:ln>
                            <a:noFill/>
                          </a:ln>
                        </pic:spPr>
                      </pic:pic>
                    </a:graphicData>
                  </a:graphic>
                </wp:inline>
              </w:drawing>
            </w:r>
            <w:r>
              <w:rPr>
                <w:color w:val="FF0000"/>
              </w:rPr>
              <w:t xml:space="preserve"> is even}</w:t>
            </w:r>
            <w:r>
              <w:rPr>
                <w:rStyle w:val="CommentReference"/>
                <w:rFonts w:cs="Arial"/>
                <w:color w:val="FF0000"/>
                <w:szCs w:val="18"/>
              </w:rPr>
              <w:t>, {</w:t>
            </w:r>
            <w:r>
              <w:rPr>
                <w:color w:val="FF0000"/>
              </w:rPr>
              <w:t xml:space="preserve">7, if </w:t>
            </w:r>
            <w:r>
              <w:rPr>
                <w:noProof/>
                <w:color w:val="FF0000"/>
                <w:position w:val="-6"/>
                <w:lang w:val="en-US" w:eastAsia="zh-TW"/>
              </w:rPr>
              <w:drawing>
                <wp:inline distT="0" distB="0" distL="0" distR="0">
                  <wp:extent cx="90805" cy="181610"/>
                  <wp:effectExtent l="0" t="0" r="444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0805" cy="181610"/>
                          </a:xfrm>
                          <a:prstGeom prst="rect">
                            <a:avLst/>
                          </a:prstGeom>
                          <a:noFill/>
                          <a:ln>
                            <a:noFill/>
                          </a:ln>
                        </pic:spPr>
                      </pic:pic>
                    </a:graphicData>
                  </a:graphic>
                </wp:inline>
              </w:drawing>
            </w:r>
            <w:r>
              <w:rPr>
                <w:color w:val="FF0000"/>
              </w:rPr>
              <w:t xml:space="preserve"> is odd</w:t>
            </w:r>
            <w:r>
              <w:rPr>
                <w:rStyle w:val="CommentReference"/>
                <w:rFonts w:cs="Arial"/>
                <w:color w:val="FF0000"/>
                <w:szCs w:val="18"/>
              </w:rPr>
              <w:t>}</w:t>
            </w:r>
          </w:p>
        </w:tc>
      </w:tr>
      <w:tr w:rsidR="00EE3DFA" w:rsidTr="00EE3DFA">
        <w:trPr>
          <w:cantSplit/>
        </w:trPr>
        <w:tc>
          <w:tcPr>
            <w:tcW w:w="805" w:type="dxa"/>
            <w:tcBorders>
              <w:top w:val="single" w:sz="4" w:space="0" w:color="auto"/>
              <w:left w:val="single" w:sz="4" w:space="0" w:color="auto"/>
              <w:bottom w:val="single" w:sz="4" w:space="0" w:color="auto"/>
              <w:right w:val="double" w:sz="4" w:space="0" w:color="auto"/>
            </w:tcBorders>
            <w:vAlign w:val="center"/>
            <w:hideMark/>
          </w:tcPr>
          <w:p w:rsidR="00EE3DFA" w:rsidRDefault="00EE3DFA">
            <w:pPr>
              <w:pStyle w:val="TAC"/>
              <w:rPr>
                <w:color w:val="FF0000"/>
              </w:rPr>
            </w:pPr>
            <w:r>
              <w:rPr>
                <w:color w:val="FF0000"/>
              </w:rPr>
              <w:t>14</w:t>
            </w:r>
          </w:p>
        </w:tc>
        <w:tc>
          <w:tcPr>
            <w:tcW w:w="8628" w:type="dxa"/>
            <w:gridSpan w:val="4"/>
            <w:tcBorders>
              <w:top w:val="single" w:sz="4" w:space="0" w:color="auto"/>
              <w:left w:val="double" w:sz="4" w:space="0" w:color="auto"/>
              <w:bottom w:val="single" w:sz="4" w:space="0" w:color="auto"/>
              <w:right w:val="single" w:sz="4" w:space="0" w:color="auto"/>
            </w:tcBorders>
            <w:vAlign w:val="center"/>
            <w:hideMark/>
          </w:tcPr>
          <w:p w:rsidR="00EE3DFA" w:rsidRDefault="00EE3DFA">
            <w:pPr>
              <w:pStyle w:val="TAC"/>
              <w:rPr>
                <w:rStyle w:val="CommentReference"/>
                <w:rFonts w:cs="Arial"/>
                <w:szCs w:val="18"/>
              </w:rPr>
            </w:pPr>
            <w:r>
              <w:rPr>
                <w:rStyle w:val="CommentReference"/>
                <w:rFonts w:cs="Arial"/>
                <w:color w:val="FF0000"/>
                <w:szCs w:val="18"/>
              </w:rPr>
              <w:t>Reserved</w:t>
            </w:r>
          </w:p>
        </w:tc>
      </w:tr>
      <w:tr w:rsidR="00EE3DFA" w:rsidTr="00EE3DFA">
        <w:trPr>
          <w:cantSplit/>
        </w:trPr>
        <w:tc>
          <w:tcPr>
            <w:tcW w:w="805" w:type="dxa"/>
            <w:tcBorders>
              <w:top w:val="single" w:sz="4" w:space="0" w:color="auto"/>
              <w:left w:val="single" w:sz="4" w:space="0" w:color="auto"/>
              <w:bottom w:val="single" w:sz="4" w:space="0" w:color="auto"/>
              <w:right w:val="double" w:sz="4" w:space="0" w:color="auto"/>
            </w:tcBorders>
            <w:vAlign w:val="center"/>
            <w:hideMark/>
          </w:tcPr>
          <w:p w:rsidR="00EE3DFA" w:rsidRDefault="00EE3DFA">
            <w:pPr>
              <w:pStyle w:val="TAC"/>
            </w:pPr>
            <w:r>
              <w:rPr>
                <w:color w:val="FF0000"/>
              </w:rPr>
              <w:t>15</w:t>
            </w:r>
          </w:p>
        </w:tc>
        <w:tc>
          <w:tcPr>
            <w:tcW w:w="8628" w:type="dxa"/>
            <w:gridSpan w:val="4"/>
            <w:tcBorders>
              <w:top w:val="single" w:sz="4" w:space="0" w:color="auto"/>
              <w:left w:val="double" w:sz="4" w:space="0" w:color="auto"/>
              <w:bottom w:val="single" w:sz="4" w:space="0" w:color="auto"/>
              <w:right w:val="single" w:sz="4" w:space="0" w:color="auto"/>
            </w:tcBorders>
            <w:vAlign w:val="center"/>
            <w:hideMark/>
          </w:tcPr>
          <w:p w:rsidR="00EE3DFA" w:rsidRDefault="00EE3DFA">
            <w:pPr>
              <w:pStyle w:val="TAC"/>
              <w:rPr>
                <w:rStyle w:val="CommentReference"/>
                <w:rFonts w:cs="Arial"/>
                <w:szCs w:val="18"/>
              </w:rPr>
            </w:pPr>
            <w:r>
              <w:rPr>
                <w:rStyle w:val="CommentReference"/>
                <w:rFonts w:cs="Arial"/>
                <w:color w:val="FF0000"/>
                <w:szCs w:val="18"/>
              </w:rPr>
              <w:t>Reserved</w:t>
            </w:r>
          </w:p>
        </w:tc>
      </w:tr>
      <w:tr w:rsidR="00EE3DFA" w:rsidTr="00EE3DFA">
        <w:trPr>
          <w:cantSplit/>
        </w:trPr>
        <w:tc>
          <w:tcPr>
            <w:tcW w:w="805" w:type="dxa"/>
            <w:tcBorders>
              <w:top w:val="single" w:sz="4" w:space="0" w:color="auto"/>
              <w:left w:val="single" w:sz="4" w:space="0" w:color="auto"/>
              <w:bottom w:val="single" w:sz="4" w:space="0" w:color="auto"/>
              <w:right w:val="double" w:sz="4" w:space="0" w:color="auto"/>
            </w:tcBorders>
            <w:vAlign w:val="center"/>
            <w:hideMark/>
          </w:tcPr>
          <w:p w:rsidR="00EE3DFA" w:rsidRDefault="00EE3DFA">
            <w:pPr>
              <w:pStyle w:val="TAC"/>
              <w:rPr>
                <w:strike/>
              </w:rPr>
            </w:pPr>
            <w:r>
              <w:rPr>
                <w:strike/>
                <w:color w:val="FF0000"/>
              </w:rPr>
              <w:t>10</w:t>
            </w:r>
          </w:p>
        </w:tc>
        <w:tc>
          <w:tcPr>
            <w:tcW w:w="885" w:type="dxa"/>
            <w:tcBorders>
              <w:top w:val="single" w:sz="4" w:space="0" w:color="auto"/>
              <w:left w:val="double" w:sz="4" w:space="0" w:color="auto"/>
              <w:bottom w:val="single" w:sz="4" w:space="0" w:color="auto"/>
              <w:right w:val="single" w:sz="4" w:space="0" w:color="auto"/>
            </w:tcBorders>
            <w:vAlign w:val="center"/>
            <w:hideMark/>
          </w:tcPr>
          <w:p w:rsidR="00EE3DFA" w:rsidRDefault="00EE3DFA">
            <w:pPr>
              <w:pStyle w:val="TAC"/>
              <w:rPr>
                <w:strike/>
                <w:color w:val="FF0000"/>
              </w:rPr>
            </w:pPr>
            <w:r>
              <w:rPr>
                <w:rStyle w:val="CommentReference"/>
                <w:rFonts w:cs="Arial"/>
                <w:strike/>
                <w:color w:val="FF0000"/>
                <w:szCs w:val="18"/>
              </w:rPr>
              <w:t>0</w:t>
            </w:r>
          </w:p>
        </w:tc>
        <w:tc>
          <w:tcPr>
            <w:tcW w:w="3325" w:type="dxa"/>
            <w:tcBorders>
              <w:top w:val="single" w:sz="4" w:space="0" w:color="auto"/>
              <w:left w:val="single" w:sz="4" w:space="0" w:color="auto"/>
              <w:bottom w:val="single" w:sz="4" w:space="0" w:color="auto"/>
              <w:right w:val="single" w:sz="4" w:space="0" w:color="auto"/>
            </w:tcBorders>
            <w:vAlign w:val="center"/>
            <w:hideMark/>
          </w:tcPr>
          <w:p w:rsidR="00EE3DFA" w:rsidRDefault="00EE3DFA">
            <w:pPr>
              <w:pStyle w:val="TAC"/>
              <w:rPr>
                <w:strike/>
                <w:color w:val="FF0000"/>
              </w:rPr>
            </w:pPr>
            <w:r>
              <w:rPr>
                <w:rStyle w:val="CommentReference"/>
                <w:rFonts w:cs="Arial"/>
                <w:strike/>
                <w:color w:val="FF0000"/>
                <w:szCs w:val="18"/>
              </w:rPr>
              <w:t>1</w:t>
            </w:r>
          </w:p>
        </w:tc>
        <w:tc>
          <w:tcPr>
            <w:tcW w:w="973" w:type="dxa"/>
            <w:tcBorders>
              <w:top w:val="single" w:sz="4" w:space="0" w:color="auto"/>
              <w:left w:val="single" w:sz="4" w:space="0" w:color="auto"/>
              <w:bottom w:val="single" w:sz="4" w:space="0" w:color="auto"/>
              <w:right w:val="single" w:sz="4" w:space="0" w:color="auto"/>
            </w:tcBorders>
            <w:vAlign w:val="center"/>
            <w:hideMark/>
          </w:tcPr>
          <w:p w:rsidR="00EE3DFA" w:rsidRDefault="00EE3DFA">
            <w:pPr>
              <w:pStyle w:val="TAC"/>
              <w:rPr>
                <w:strike/>
                <w:color w:val="FF0000"/>
              </w:rPr>
            </w:pPr>
            <w:r>
              <w:rPr>
                <w:rStyle w:val="CommentReference"/>
                <w:rFonts w:cs="Arial"/>
                <w:strike/>
                <w:color w:val="FF0000"/>
                <w:szCs w:val="18"/>
              </w:rPr>
              <w:t>1</w:t>
            </w:r>
          </w:p>
        </w:tc>
        <w:tc>
          <w:tcPr>
            <w:tcW w:w="3445" w:type="dxa"/>
            <w:tcBorders>
              <w:top w:val="single" w:sz="4" w:space="0" w:color="auto"/>
              <w:left w:val="single" w:sz="4" w:space="0" w:color="auto"/>
              <w:bottom w:val="single" w:sz="4" w:space="0" w:color="auto"/>
              <w:right w:val="single" w:sz="4" w:space="0" w:color="auto"/>
            </w:tcBorders>
            <w:vAlign w:val="center"/>
            <w:hideMark/>
          </w:tcPr>
          <w:p w:rsidR="00EE3DFA" w:rsidRDefault="00EE3DFA">
            <w:pPr>
              <w:pStyle w:val="TAC"/>
              <w:rPr>
                <w:strike/>
                <w:color w:val="FF0000"/>
              </w:rPr>
            </w:pPr>
            <w:r>
              <w:rPr>
                <w:rStyle w:val="CommentReference"/>
                <w:rFonts w:cs="Arial"/>
                <w:strike/>
                <w:color w:val="FF0000"/>
                <w:szCs w:val="18"/>
              </w:rPr>
              <w:t>1</w:t>
            </w:r>
          </w:p>
        </w:tc>
      </w:tr>
      <w:tr w:rsidR="00EE3DFA" w:rsidTr="00EE3DFA">
        <w:trPr>
          <w:cantSplit/>
        </w:trPr>
        <w:tc>
          <w:tcPr>
            <w:tcW w:w="805" w:type="dxa"/>
            <w:tcBorders>
              <w:top w:val="single" w:sz="4" w:space="0" w:color="auto"/>
              <w:left w:val="single" w:sz="4" w:space="0" w:color="auto"/>
              <w:bottom w:val="single" w:sz="4" w:space="0" w:color="auto"/>
              <w:right w:val="double" w:sz="4" w:space="0" w:color="auto"/>
            </w:tcBorders>
            <w:vAlign w:val="center"/>
            <w:hideMark/>
          </w:tcPr>
          <w:p w:rsidR="00EE3DFA" w:rsidRDefault="00EE3DFA">
            <w:pPr>
              <w:pStyle w:val="TAC"/>
              <w:rPr>
                <w:strike/>
                <w:color w:val="FF0000"/>
              </w:rPr>
            </w:pPr>
            <w:r>
              <w:rPr>
                <w:strike/>
                <w:color w:val="FF0000"/>
              </w:rPr>
              <w:t>11</w:t>
            </w:r>
          </w:p>
        </w:tc>
        <w:tc>
          <w:tcPr>
            <w:tcW w:w="885" w:type="dxa"/>
            <w:tcBorders>
              <w:top w:val="single" w:sz="4" w:space="0" w:color="auto"/>
              <w:left w:val="double" w:sz="4" w:space="0" w:color="auto"/>
              <w:bottom w:val="single" w:sz="4" w:space="0" w:color="auto"/>
              <w:right w:val="single" w:sz="4" w:space="0" w:color="auto"/>
            </w:tcBorders>
            <w:vAlign w:val="center"/>
            <w:hideMark/>
          </w:tcPr>
          <w:p w:rsidR="00EE3DFA" w:rsidRDefault="00EE3DFA">
            <w:pPr>
              <w:pStyle w:val="TAC"/>
              <w:rPr>
                <w:strike/>
                <w:color w:val="FF0000"/>
              </w:rPr>
            </w:pPr>
            <w:r>
              <w:rPr>
                <w:rStyle w:val="CommentReference"/>
                <w:rFonts w:cs="Arial"/>
                <w:strike/>
                <w:color w:val="FF0000"/>
                <w:szCs w:val="18"/>
              </w:rPr>
              <w:t>0</w:t>
            </w:r>
          </w:p>
        </w:tc>
        <w:tc>
          <w:tcPr>
            <w:tcW w:w="3325" w:type="dxa"/>
            <w:tcBorders>
              <w:top w:val="single" w:sz="4" w:space="0" w:color="auto"/>
              <w:left w:val="single" w:sz="4" w:space="0" w:color="auto"/>
              <w:bottom w:val="single" w:sz="4" w:space="0" w:color="auto"/>
              <w:right w:val="single" w:sz="4" w:space="0" w:color="auto"/>
            </w:tcBorders>
            <w:vAlign w:val="center"/>
            <w:hideMark/>
          </w:tcPr>
          <w:p w:rsidR="00EE3DFA" w:rsidRDefault="00EE3DFA">
            <w:pPr>
              <w:pStyle w:val="TAC"/>
              <w:rPr>
                <w:strike/>
                <w:color w:val="FF0000"/>
              </w:rPr>
            </w:pPr>
            <w:r>
              <w:rPr>
                <w:rStyle w:val="CommentReference"/>
                <w:rFonts w:cs="Arial"/>
                <w:strike/>
                <w:color w:val="FF0000"/>
                <w:szCs w:val="18"/>
              </w:rPr>
              <w:t>1</w:t>
            </w:r>
          </w:p>
        </w:tc>
        <w:tc>
          <w:tcPr>
            <w:tcW w:w="973" w:type="dxa"/>
            <w:tcBorders>
              <w:top w:val="single" w:sz="4" w:space="0" w:color="auto"/>
              <w:left w:val="single" w:sz="4" w:space="0" w:color="auto"/>
              <w:bottom w:val="single" w:sz="4" w:space="0" w:color="auto"/>
              <w:right w:val="single" w:sz="4" w:space="0" w:color="auto"/>
            </w:tcBorders>
            <w:vAlign w:val="center"/>
            <w:hideMark/>
          </w:tcPr>
          <w:p w:rsidR="00EE3DFA" w:rsidRDefault="00EE3DFA">
            <w:pPr>
              <w:pStyle w:val="TAC"/>
              <w:rPr>
                <w:strike/>
                <w:color w:val="FF0000"/>
              </w:rPr>
            </w:pPr>
            <w:r>
              <w:rPr>
                <w:rStyle w:val="CommentReference"/>
                <w:rFonts w:cs="Arial"/>
                <w:strike/>
                <w:color w:val="FF0000"/>
                <w:szCs w:val="18"/>
              </w:rPr>
              <w:t>1</w:t>
            </w:r>
          </w:p>
        </w:tc>
        <w:tc>
          <w:tcPr>
            <w:tcW w:w="3445" w:type="dxa"/>
            <w:tcBorders>
              <w:top w:val="single" w:sz="4" w:space="0" w:color="auto"/>
              <w:left w:val="single" w:sz="4" w:space="0" w:color="auto"/>
              <w:bottom w:val="single" w:sz="4" w:space="0" w:color="auto"/>
              <w:right w:val="single" w:sz="4" w:space="0" w:color="auto"/>
            </w:tcBorders>
            <w:vAlign w:val="center"/>
            <w:hideMark/>
          </w:tcPr>
          <w:p w:rsidR="00EE3DFA" w:rsidRDefault="00EE3DFA">
            <w:pPr>
              <w:pStyle w:val="TAC"/>
              <w:rPr>
                <w:strike/>
                <w:color w:val="FF0000"/>
              </w:rPr>
            </w:pPr>
            <w:r>
              <w:rPr>
                <w:rStyle w:val="CommentReference"/>
                <w:rFonts w:cs="Arial"/>
                <w:strike/>
                <w:color w:val="FF0000"/>
                <w:szCs w:val="18"/>
              </w:rPr>
              <w:t>2</w:t>
            </w:r>
          </w:p>
        </w:tc>
      </w:tr>
      <w:tr w:rsidR="00EE3DFA" w:rsidTr="00EE3DFA">
        <w:trPr>
          <w:cantSplit/>
        </w:trPr>
        <w:tc>
          <w:tcPr>
            <w:tcW w:w="805" w:type="dxa"/>
            <w:tcBorders>
              <w:top w:val="single" w:sz="4" w:space="0" w:color="auto"/>
              <w:left w:val="single" w:sz="4" w:space="0" w:color="auto"/>
              <w:bottom w:val="single" w:sz="4" w:space="0" w:color="auto"/>
              <w:right w:val="double" w:sz="4" w:space="0" w:color="auto"/>
            </w:tcBorders>
            <w:vAlign w:val="center"/>
            <w:hideMark/>
          </w:tcPr>
          <w:p w:rsidR="00EE3DFA" w:rsidRDefault="00EE3DFA">
            <w:pPr>
              <w:pStyle w:val="TAC"/>
              <w:rPr>
                <w:strike/>
                <w:color w:val="FF0000"/>
              </w:rPr>
            </w:pPr>
            <w:r>
              <w:rPr>
                <w:strike/>
                <w:color w:val="FF0000"/>
              </w:rPr>
              <w:t>12</w:t>
            </w:r>
          </w:p>
        </w:tc>
        <w:tc>
          <w:tcPr>
            <w:tcW w:w="885" w:type="dxa"/>
            <w:tcBorders>
              <w:top w:val="single" w:sz="4" w:space="0" w:color="auto"/>
              <w:left w:val="double" w:sz="4" w:space="0" w:color="auto"/>
              <w:bottom w:val="single" w:sz="4" w:space="0" w:color="auto"/>
              <w:right w:val="single" w:sz="4" w:space="0" w:color="auto"/>
            </w:tcBorders>
            <w:vAlign w:val="center"/>
            <w:hideMark/>
          </w:tcPr>
          <w:p w:rsidR="00EE3DFA" w:rsidRDefault="00EE3DFA">
            <w:pPr>
              <w:pStyle w:val="TAC"/>
              <w:rPr>
                <w:strike/>
                <w:color w:val="FF0000"/>
              </w:rPr>
            </w:pPr>
            <w:r>
              <w:rPr>
                <w:rStyle w:val="CommentReference"/>
                <w:rFonts w:cs="Arial"/>
                <w:strike/>
                <w:color w:val="FF0000"/>
                <w:szCs w:val="18"/>
              </w:rPr>
              <w:t>2</w:t>
            </w:r>
          </w:p>
        </w:tc>
        <w:tc>
          <w:tcPr>
            <w:tcW w:w="3325" w:type="dxa"/>
            <w:tcBorders>
              <w:top w:val="single" w:sz="4" w:space="0" w:color="auto"/>
              <w:left w:val="single" w:sz="4" w:space="0" w:color="auto"/>
              <w:bottom w:val="single" w:sz="4" w:space="0" w:color="auto"/>
              <w:right w:val="single" w:sz="4" w:space="0" w:color="auto"/>
            </w:tcBorders>
            <w:vAlign w:val="center"/>
            <w:hideMark/>
          </w:tcPr>
          <w:p w:rsidR="00EE3DFA" w:rsidRDefault="00EE3DFA">
            <w:pPr>
              <w:pStyle w:val="TAC"/>
              <w:rPr>
                <w:strike/>
                <w:color w:val="FF0000"/>
              </w:rPr>
            </w:pPr>
            <w:r>
              <w:rPr>
                <w:rStyle w:val="CommentReference"/>
                <w:rFonts w:cs="Arial"/>
                <w:strike/>
                <w:color w:val="FF0000"/>
                <w:szCs w:val="18"/>
              </w:rPr>
              <w:t>1</w:t>
            </w:r>
          </w:p>
        </w:tc>
        <w:tc>
          <w:tcPr>
            <w:tcW w:w="973" w:type="dxa"/>
            <w:tcBorders>
              <w:top w:val="single" w:sz="4" w:space="0" w:color="auto"/>
              <w:left w:val="single" w:sz="4" w:space="0" w:color="auto"/>
              <w:bottom w:val="single" w:sz="4" w:space="0" w:color="auto"/>
              <w:right w:val="single" w:sz="4" w:space="0" w:color="auto"/>
            </w:tcBorders>
            <w:vAlign w:val="center"/>
            <w:hideMark/>
          </w:tcPr>
          <w:p w:rsidR="00EE3DFA" w:rsidRDefault="00EE3DFA">
            <w:pPr>
              <w:pStyle w:val="TAC"/>
              <w:rPr>
                <w:strike/>
                <w:color w:val="FF0000"/>
              </w:rPr>
            </w:pPr>
            <w:r>
              <w:rPr>
                <w:rStyle w:val="CommentReference"/>
                <w:rFonts w:cs="Arial"/>
                <w:strike/>
                <w:color w:val="FF0000"/>
                <w:szCs w:val="18"/>
              </w:rPr>
              <w:t>1</w:t>
            </w:r>
          </w:p>
        </w:tc>
        <w:tc>
          <w:tcPr>
            <w:tcW w:w="3445" w:type="dxa"/>
            <w:tcBorders>
              <w:top w:val="single" w:sz="4" w:space="0" w:color="auto"/>
              <w:left w:val="single" w:sz="4" w:space="0" w:color="auto"/>
              <w:bottom w:val="single" w:sz="4" w:space="0" w:color="auto"/>
              <w:right w:val="single" w:sz="4" w:space="0" w:color="auto"/>
            </w:tcBorders>
            <w:vAlign w:val="center"/>
            <w:hideMark/>
          </w:tcPr>
          <w:p w:rsidR="00EE3DFA" w:rsidRDefault="00EE3DFA">
            <w:pPr>
              <w:pStyle w:val="TAC"/>
              <w:rPr>
                <w:strike/>
                <w:color w:val="FF0000"/>
              </w:rPr>
            </w:pPr>
            <w:r>
              <w:rPr>
                <w:rStyle w:val="CommentReference"/>
                <w:rFonts w:cs="Arial"/>
                <w:strike/>
                <w:color w:val="FF0000"/>
                <w:szCs w:val="18"/>
              </w:rPr>
              <w:t>1</w:t>
            </w:r>
          </w:p>
        </w:tc>
      </w:tr>
      <w:tr w:rsidR="00EE3DFA" w:rsidTr="00EE3DFA">
        <w:trPr>
          <w:cantSplit/>
        </w:trPr>
        <w:tc>
          <w:tcPr>
            <w:tcW w:w="805" w:type="dxa"/>
            <w:tcBorders>
              <w:top w:val="single" w:sz="4" w:space="0" w:color="auto"/>
              <w:left w:val="single" w:sz="4" w:space="0" w:color="auto"/>
              <w:bottom w:val="single" w:sz="4" w:space="0" w:color="auto"/>
              <w:right w:val="double" w:sz="4" w:space="0" w:color="auto"/>
            </w:tcBorders>
            <w:vAlign w:val="center"/>
            <w:hideMark/>
          </w:tcPr>
          <w:p w:rsidR="00EE3DFA" w:rsidRDefault="00EE3DFA">
            <w:pPr>
              <w:pStyle w:val="TAC"/>
              <w:rPr>
                <w:strike/>
                <w:color w:val="FF0000"/>
              </w:rPr>
            </w:pPr>
            <w:r>
              <w:rPr>
                <w:strike/>
                <w:color w:val="FF0000"/>
              </w:rPr>
              <w:t>13</w:t>
            </w:r>
          </w:p>
        </w:tc>
        <w:tc>
          <w:tcPr>
            <w:tcW w:w="885" w:type="dxa"/>
            <w:tcBorders>
              <w:top w:val="single" w:sz="4" w:space="0" w:color="auto"/>
              <w:left w:val="double" w:sz="4" w:space="0" w:color="auto"/>
              <w:bottom w:val="single" w:sz="4" w:space="0" w:color="auto"/>
              <w:right w:val="single" w:sz="4" w:space="0" w:color="auto"/>
            </w:tcBorders>
            <w:vAlign w:val="center"/>
            <w:hideMark/>
          </w:tcPr>
          <w:p w:rsidR="00EE3DFA" w:rsidRDefault="00EE3DFA">
            <w:pPr>
              <w:pStyle w:val="TAC"/>
              <w:rPr>
                <w:strike/>
                <w:color w:val="FF0000"/>
              </w:rPr>
            </w:pPr>
            <w:r>
              <w:rPr>
                <w:rStyle w:val="CommentReference"/>
                <w:rFonts w:cs="Arial"/>
                <w:strike/>
                <w:color w:val="FF0000"/>
                <w:szCs w:val="18"/>
              </w:rPr>
              <w:t>2</w:t>
            </w:r>
          </w:p>
        </w:tc>
        <w:tc>
          <w:tcPr>
            <w:tcW w:w="3325" w:type="dxa"/>
            <w:tcBorders>
              <w:top w:val="single" w:sz="4" w:space="0" w:color="auto"/>
              <w:left w:val="single" w:sz="4" w:space="0" w:color="auto"/>
              <w:bottom w:val="single" w:sz="4" w:space="0" w:color="auto"/>
              <w:right w:val="single" w:sz="4" w:space="0" w:color="auto"/>
            </w:tcBorders>
            <w:vAlign w:val="center"/>
            <w:hideMark/>
          </w:tcPr>
          <w:p w:rsidR="00EE3DFA" w:rsidRDefault="00EE3DFA">
            <w:pPr>
              <w:pStyle w:val="TAC"/>
              <w:rPr>
                <w:strike/>
                <w:color w:val="FF0000"/>
              </w:rPr>
            </w:pPr>
            <w:r>
              <w:rPr>
                <w:rStyle w:val="CommentReference"/>
                <w:rFonts w:cs="Arial"/>
                <w:strike/>
                <w:color w:val="FF0000"/>
                <w:szCs w:val="18"/>
              </w:rPr>
              <w:t>1</w:t>
            </w:r>
          </w:p>
        </w:tc>
        <w:tc>
          <w:tcPr>
            <w:tcW w:w="973" w:type="dxa"/>
            <w:tcBorders>
              <w:top w:val="single" w:sz="4" w:space="0" w:color="auto"/>
              <w:left w:val="single" w:sz="4" w:space="0" w:color="auto"/>
              <w:bottom w:val="single" w:sz="4" w:space="0" w:color="auto"/>
              <w:right w:val="single" w:sz="4" w:space="0" w:color="auto"/>
            </w:tcBorders>
            <w:vAlign w:val="center"/>
            <w:hideMark/>
          </w:tcPr>
          <w:p w:rsidR="00EE3DFA" w:rsidRDefault="00EE3DFA">
            <w:pPr>
              <w:pStyle w:val="TAC"/>
              <w:rPr>
                <w:strike/>
                <w:color w:val="FF0000"/>
              </w:rPr>
            </w:pPr>
            <w:r>
              <w:rPr>
                <w:rStyle w:val="CommentReference"/>
                <w:rFonts w:cs="Arial"/>
                <w:strike/>
                <w:color w:val="FF0000"/>
                <w:szCs w:val="18"/>
              </w:rPr>
              <w:t>1</w:t>
            </w:r>
          </w:p>
        </w:tc>
        <w:tc>
          <w:tcPr>
            <w:tcW w:w="3445" w:type="dxa"/>
            <w:tcBorders>
              <w:top w:val="single" w:sz="4" w:space="0" w:color="auto"/>
              <w:left w:val="single" w:sz="4" w:space="0" w:color="auto"/>
              <w:bottom w:val="single" w:sz="4" w:space="0" w:color="auto"/>
              <w:right w:val="single" w:sz="4" w:space="0" w:color="auto"/>
            </w:tcBorders>
            <w:vAlign w:val="center"/>
            <w:hideMark/>
          </w:tcPr>
          <w:p w:rsidR="00EE3DFA" w:rsidRDefault="00EE3DFA">
            <w:pPr>
              <w:pStyle w:val="TAC"/>
              <w:rPr>
                <w:strike/>
                <w:color w:val="FF0000"/>
              </w:rPr>
            </w:pPr>
            <w:r>
              <w:rPr>
                <w:rStyle w:val="CommentReference"/>
                <w:rFonts w:cs="Arial"/>
                <w:strike/>
                <w:color w:val="FF0000"/>
                <w:szCs w:val="18"/>
              </w:rPr>
              <w:t>2</w:t>
            </w:r>
          </w:p>
        </w:tc>
      </w:tr>
      <w:tr w:rsidR="00EE3DFA" w:rsidTr="00EE3DFA">
        <w:trPr>
          <w:cantSplit/>
        </w:trPr>
        <w:tc>
          <w:tcPr>
            <w:tcW w:w="805" w:type="dxa"/>
            <w:tcBorders>
              <w:top w:val="single" w:sz="4" w:space="0" w:color="auto"/>
              <w:left w:val="single" w:sz="4" w:space="0" w:color="auto"/>
              <w:bottom w:val="single" w:sz="4" w:space="0" w:color="auto"/>
              <w:right w:val="double" w:sz="4" w:space="0" w:color="auto"/>
            </w:tcBorders>
            <w:vAlign w:val="center"/>
            <w:hideMark/>
          </w:tcPr>
          <w:p w:rsidR="00EE3DFA" w:rsidRDefault="00EE3DFA">
            <w:pPr>
              <w:pStyle w:val="TAC"/>
              <w:rPr>
                <w:strike/>
                <w:color w:val="FF0000"/>
              </w:rPr>
            </w:pPr>
            <w:r>
              <w:rPr>
                <w:strike/>
                <w:color w:val="FF0000"/>
              </w:rPr>
              <w:t>14</w:t>
            </w:r>
          </w:p>
        </w:tc>
        <w:tc>
          <w:tcPr>
            <w:tcW w:w="885" w:type="dxa"/>
            <w:tcBorders>
              <w:top w:val="single" w:sz="4" w:space="0" w:color="auto"/>
              <w:left w:val="double" w:sz="4" w:space="0" w:color="auto"/>
              <w:bottom w:val="single" w:sz="4" w:space="0" w:color="auto"/>
              <w:right w:val="single" w:sz="4" w:space="0" w:color="auto"/>
            </w:tcBorders>
            <w:vAlign w:val="center"/>
            <w:hideMark/>
          </w:tcPr>
          <w:p w:rsidR="00EE3DFA" w:rsidRDefault="00EE3DFA">
            <w:pPr>
              <w:pStyle w:val="TAC"/>
              <w:rPr>
                <w:strike/>
                <w:color w:val="FF0000"/>
              </w:rPr>
            </w:pPr>
            <w:r>
              <w:rPr>
                <w:rStyle w:val="CommentReference"/>
                <w:rFonts w:cs="Arial"/>
                <w:strike/>
                <w:color w:val="FF0000"/>
                <w:szCs w:val="18"/>
              </w:rPr>
              <w:t>5</w:t>
            </w:r>
          </w:p>
        </w:tc>
        <w:tc>
          <w:tcPr>
            <w:tcW w:w="3325" w:type="dxa"/>
            <w:tcBorders>
              <w:top w:val="single" w:sz="4" w:space="0" w:color="auto"/>
              <w:left w:val="single" w:sz="4" w:space="0" w:color="auto"/>
              <w:bottom w:val="single" w:sz="4" w:space="0" w:color="auto"/>
              <w:right w:val="single" w:sz="4" w:space="0" w:color="auto"/>
            </w:tcBorders>
            <w:vAlign w:val="center"/>
            <w:hideMark/>
          </w:tcPr>
          <w:p w:rsidR="00EE3DFA" w:rsidRDefault="00EE3DFA">
            <w:pPr>
              <w:pStyle w:val="TAC"/>
              <w:rPr>
                <w:strike/>
                <w:color w:val="FF0000"/>
              </w:rPr>
            </w:pPr>
            <w:r>
              <w:rPr>
                <w:rStyle w:val="CommentReference"/>
                <w:rFonts w:cs="Arial"/>
                <w:strike/>
                <w:color w:val="FF0000"/>
                <w:szCs w:val="18"/>
              </w:rPr>
              <w:t>1</w:t>
            </w:r>
          </w:p>
        </w:tc>
        <w:tc>
          <w:tcPr>
            <w:tcW w:w="973" w:type="dxa"/>
            <w:tcBorders>
              <w:top w:val="single" w:sz="4" w:space="0" w:color="auto"/>
              <w:left w:val="single" w:sz="4" w:space="0" w:color="auto"/>
              <w:bottom w:val="single" w:sz="4" w:space="0" w:color="auto"/>
              <w:right w:val="single" w:sz="4" w:space="0" w:color="auto"/>
            </w:tcBorders>
            <w:vAlign w:val="center"/>
            <w:hideMark/>
          </w:tcPr>
          <w:p w:rsidR="00EE3DFA" w:rsidRDefault="00EE3DFA">
            <w:pPr>
              <w:pStyle w:val="TAC"/>
              <w:rPr>
                <w:strike/>
                <w:color w:val="FF0000"/>
              </w:rPr>
            </w:pPr>
            <w:r>
              <w:rPr>
                <w:rStyle w:val="CommentReference"/>
                <w:rFonts w:cs="Arial"/>
                <w:strike/>
                <w:color w:val="FF0000"/>
                <w:szCs w:val="18"/>
              </w:rPr>
              <w:t>1</w:t>
            </w:r>
          </w:p>
        </w:tc>
        <w:tc>
          <w:tcPr>
            <w:tcW w:w="3445" w:type="dxa"/>
            <w:tcBorders>
              <w:top w:val="single" w:sz="4" w:space="0" w:color="auto"/>
              <w:left w:val="single" w:sz="4" w:space="0" w:color="auto"/>
              <w:bottom w:val="single" w:sz="4" w:space="0" w:color="auto"/>
              <w:right w:val="single" w:sz="4" w:space="0" w:color="auto"/>
            </w:tcBorders>
            <w:vAlign w:val="center"/>
            <w:hideMark/>
          </w:tcPr>
          <w:p w:rsidR="00EE3DFA" w:rsidRDefault="00EE3DFA">
            <w:pPr>
              <w:pStyle w:val="TAC"/>
              <w:rPr>
                <w:strike/>
                <w:color w:val="FF0000"/>
              </w:rPr>
            </w:pPr>
            <w:r>
              <w:rPr>
                <w:rStyle w:val="CommentReference"/>
                <w:rFonts w:cs="Arial"/>
                <w:strike/>
                <w:color w:val="FF0000"/>
                <w:szCs w:val="18"/>
              </w:rPr>
              <w:t>1</w:t>
            </w:r>
          </w:p>
        </w:tc>
      </w:tr>
      <w:tr w:rsidR="00EE3DFA" w:rsidTr="00EE3DFA">
        <w:trPr>
          <w:cantSplit/>
        </w:trPr>
        <w:tc>
          <w:tcPr>
            <w:tcW w:w="805" w:type="dxa"/>
            <w:tcBorders>
              <w:top w:val="single" w:sz="4" w:space="0" w:color="auto"/>
              <w:left w:val="single" w:sz="4" w:space="0" w:color="auto"/>
              <w:bottom w:val="single" w:sz="4" w:space="0" w:color="auto"/>
              <w:right w:val="double" w:sz="4" w:space="0" w:color="auto"/>
            </w:tcBorders>
            <w:vAlign w:val="center"/>
            <w:hideMark/>
          </w:tcPr>
          <w:p w:rsidR="00EE3DFA" w:rsidRDefault="00EE3DFA">
            <w:pPr>
              <w:pStyle w:val="TAC"/>
              <w:rPr>
                <w:strike/>
                <w:color w:val="FF0000"/>
              </w:rPr>
            </w:pPr>
            <w:r>
              <w:rPr>
                <w:rFonts w:cs="Arial"/>
                <w:strike/>
                <w:color w:val="FF0000"/>
                <w:kern w:val="24"/>
                <w:szCs w:val="18"/>
              </w:rPr>
              <w:t>15</w:t>
            </w:r>
          </w:p>
        </w:tc>
        <w:tc>
          <w:tcPr>
            <w:tcW w:w="885" w:type="dxa"/>
            <w:tcBorders>
              <w:top w:val="single" w:sz="4" w:space="0" w:color="auto"/>
              <w:left w:val="double" w:sz="4" w:space="0" w:color="auto"/>
              <w:bottom w:val="single" w:sz="4" w:space="0" w:color="auto"/>
              <w:right w:val="single" w:sz="4" w:space="0" w:color="auto"/>
            </w:tcBorders>
            <w:vAlign w:val="center"/>
            <w:hideMark/>
          </w:tcPr>
          <w:p w:rsidR="00EE3DFA" w:rsidRDefault="00EE3DFA">
            <w:pPr>
              <w:pStyle w:val="TAC"/>
              <w:rPr>
                <w:rFonts w:cs="Arial"/>
                <w:strike/>
                <w:color w:val="FF0000"/>
                <w:kern w:val="24"/>
                <w:szCs w:val="18"/>
              </w:rPr>
            </w:pPr>
            <w:r>
              <w:rPr>
                <w:rStyle w:val="CommentReference"/>
                <w:rFonts w:cs="Arial"/>
                <w:strike/>
                <w:color w:val="FF0000"/>
                <w:szCs w:val="18"/>
              </w:rPr>
              <w:t>5</w:t>
            </w:r>
          </w:p>
        </w:tc>
        <w:tc>
          <w:tcPr>
            <w:tcW w:w="3325" w:type="dxa"/>
            <w:tcBorders>
              <w:top w:val="single" w:sz="4" w:space="0" w:color="auto"/>
              <w:left w:val="single" w:sz="4" w:space="0" w:color="auto"/>
              <w:bottom w:val="single" w:sz="4" w:space="0" w:color="auto"/>
              <w:right w:val="single" w:sz="4" w:space="0" w:color="auto"/>
            </w:tcBorders>
            <w:vAlign w:val="center"/>
            <w:hideMark/>
          </w:tcPr>
          <w:p w:rsidR="00EE3DFA" w:rsidRDefault="00EE3DFA">
            <w:pPr>
              <w:pStyle w:val="TAC"/>
              <w:rPr>
                <w:rFonts w:cs="Arial"/>
                <w:strike/>
                <w:color w:val="FF0000"/>
                <w:kern w:val="24"/>
                <w:szCs w:val="18"/>
              </w:rPr>
            </w:pPr>
            <w:r>
              <w:rPr>
                <w:rStyle w:val="CommentReference"/>
                <w:rFonts w:cs="Arial"/>
                <w:strike/>
                <w:color w:val="FF0000"/>
                <w:szCs w:val="18"/>
              </w:rPr>
              <w:t>1</w:t>
            </w:r>
          </w:p>
        </w:tc>
        <w:tc>
          <w:tcPr>
            <w:tcW w:w="973" w:type="dxa"/>
            <w:tcBorders>
              <w:top w:val="single" w:sz="4" w:space="0" w:color="auto"/>
              <w:left w:val="single" w:sz="4" w:space="0" w:color="auto"/>
              <w:bottom w:val="single" w:sz="4" w:space="0" w:color="auto"/>
              <w:right w:val="single" w:sz="4" w:space="0" w:color="auto"/>
            </w:tcBorders>
            <w:vAlign w:val="center"/>
            <w:hideMark/>
          </w:tcPr>
          <w:p w:rsidR="00EE3DFA" w:rsidRDefault="00EE3DFA">
            <w:pPr>
              <w:pStyle w:val="TAC"/>
              <w:rPr>
                <w:rFonts w:cs="Arial"/>
                <w:strike/>
                <w:color w:val="FF0000"/>
                <w:kern w:val="24"/>
                <w:szCs w:val="18"/>
              </w:rPr>
            </w:pPr>
            <w:r>
              <w:rPr>
                <w:rStyle w:val="CommentReference"/>
                <w:rFonts w:cs="Arial"/>
                <w:strike/>
                <w:color w:val="FF0000"/>
                <w:szCs w:val="18"/>
              </w:rPr>
              <w:t>1</w:t>
            </w:r>
          </w:p>
        </w:tc>
        <w:tc>
          <w:tcPr>
            <w:tcW w:w="3445" w:type="dxa"/>
            <w:tcBorders>
              <w:top w:val="single" w:sz="4" w:space="0" w:color="auto"/>
              <w:left w:val="single" w:sz="4" w:space="0" w:color="auto"/>
              <w:bottom w:val="single" w:sz="4" w:space="0" w:color="auto"/>
              <w:right w:val="single" w:sz="4" w:space="0" w:color="auto"/>
            </w:tcBorders>
            <w:vAlign w:val="center"/>
            <w:hideMark/>
          </w:tcPr>
          <w:p w:rsidR="00EE3DFA" w:rsidRDefault="00EE3DFA">
            <w:pPr>
              <w:pStyle w:val="TAC"/>
              <w:rPr>
                <w:rFonts w:cs="Arial"/>
                <w:strike/>
                <w:color w:val="FF0000"/>
                <w:kern w:val="24"/>
                <w:szCs w:val="18"/>
              </w:rPr>
            </w:pPr>
            <w:r>
              <w:rPr>
                <w:rStyle w:val="CommentReference"/>
                <w:rFonts w:cs="Arial"/>
                <w:strike/>
                <w:color w:val="FF0000"/>
                <w:szCs w:val="18"/>
              </w:rPr>
              <w:t>2</w:t>
            </w:r>
          </w:p>
        </w:tc>
      </w:tr>
    </w:tbl>
    <w:p w:rsidR="00EE3DFA" w:rsidRDefault="00EE3DFA" w:rsidP="00EE3DFA"/>
    <w:p w:rsidR="00611C13" w:rsidRDefault="00611C13" w:rsidP="00611C13">
      <w:pPr>
        <w:pStyle w:val="Heading1"/>
        <w:rPr>
          <w:lang w:eastAsia="zh-CN"/>
        </w:rPr>
      </w:pPr>
      <w:r>
        <w:rPr>
          <w:lang w:eastAsia="zh-CN"/>
        </w:rPr>
        <w:t>Random Access Procedure</w:t>
      </w:r>
    </w:p>
    <w:p w:rsidR="00611C13" w:rsidRDefault="00611C13" w:rsidP="00611C13">
      <w:pPr>
        <w:rPr>
          <w:lang w:val="en-GB" w:eastAsia="zh-CN"/>
        </w:rPr>
      </w:pPr>
      <w:r>
        <w:rPr>
          <w:lang w:val="en-GB" w:eastAsia="zh-CN"/>
        </w:rPr>
        <w:t xml:space="preserve">In this section, we discuss some potential enhancements to 4-step RACH for NR-U operations. Specifically, we address the following issues: </w:t>
      </w:r>
    </w:p>
    <w:p w:rsidR="00611C13" w:rsidRPr="00BE7FBC" w:rsidRDefault="00611C13" w:rsidP="00611C13">
      <w:pPr>
        <w:pStyle w:val="ListParagraph"/>
        <w:numPr>
          <w:ilvl w:val="0"/>
          <w:numId w:val="12"/>
        </w:numPr>
        <w:ind w:firstLineChars="0"/>
        <w:rPr>
          <w:sz w:val="20"/>
          <w:szCs w:val="20"/>
          <w:lang w:val="en-GB" w:eastAsia="zh-CN"/>
        </w:rPr>
      </w:pPr>
      <w:r w:rsidRPr="00BE7FBC">
        <w:rPr>
          <w:sz w:val="20"/>
          <w:szCs w:val="20"/>
          <w:lang w:val="en-GB" w:eastAsia="zh-CN"/>
        </w:rPr>
        <w:t>Enhancement to RACH resources</w:t>
      </w:r>
    </w:p>
    <w:p w:rsidR="00611C13" w:rsidRPr="00BE7FBC" w:rsidRDefault="00611C13" w:rsidP="00611C13">
      <w:pPr>
        <w:pStyle w:val="ListParagraph"/>
        <w:numPr>
          <w:ilvl w:val="0"/>
          <w:numId w:val="12"/>
        </w:numPr>
        <w:ind w:firstLineChars="0"/>
        <w:rPr>
          <w:sz w:val="20"/>
          <w:szCs w:val="20"/>
          <w:lang w:val="en-GB" w:eastAsia="zh-CN"/>
        </w:rPr>
      </w:pPr>
      <w:r w:rsidRPr="00BE7FBC">
        <w:rPr>
          <w:sz w:val="20"/>
          <w:szCs w:val="20"/>
          <w:lang w:val="en-GB" w:eastAsia="zh-CN"/>
        </w:rPr>
        <w:t>RACH occasion validation rules</w:t>
      </w:r>
    </w:p>
    <w:p w:rsidR="00611C13" w:rsidRPr="003824A6" w:rsidRDefault="00611C13" w:rsidP="00611C13">
      <w:pPr>
        <w:pStyle w:val="ListParagraph"/>
        <w:numPr>
          <w:ilvl w:val="0"/>
          <w:numId w:val="12"/>
        </w:numPr>
        <w:ind w:firstLineChars="0"/>
        <w:rPr>
          <w:sz w:val="20"/>
          <w:szCs w:val="20"/>
          <w:lang w:val="en-GB" w:eastAsia="zh-CN"/>
        </w:rPr>
      </w:pPr>
      <w:r w:rsidRPr="00BE7FBC">
        <w:rPr>
          <w:sz w:val="20"/>
          <w:szCs w:val="20"/>
          <w:lang w:val="en-GB" w:eastAsia="zh-CN"/>
        </w:rPr>
        <w:t>Handling systematic LBT failures in RACH</w:t>
      </w:r>
    </w:p>
    <w:p w:rsidR="00611C13" w:rsidRDefault="00611C13" w:rsidP="00611C13">
      <w:pPr>
        <w:pStyle w:val="Heading2"/>
        <w:rPr>
          <w:lang w:eastAsia="zh-CN"/>
        </w:rPr>
      </w:pPr>
      <w:r>
        <w:rPr>
          <w:lang w:eastAsia="zh-CN"/>
        </w:rPr>
        <w:t>Enhancements to RACH resources</w:t>
      </w:r>
    </w:p>
    <w:tbl>
      <w:tblPr>
        <w:tblStyle w:val="TableGrid"/>
        <w:tblW w:w="0" w:type="auto"/>
        <w:tblLook w:val="04A0" w:firstRow="1" w:lastRow="0" w:firstColumn="1" w:lastColumn="0" w:noHBand="0" w:noVBand="1"/>
      </w:tblPr>
      <w:tblGrid>
        <w:gridCol w:w="9631"/>
      </w:tblGrid>
      <w:tr w:rsidR="00611C13" w:rsidRPr="00013008" w:rsidTr="00EC56B7">
        <w:tc>
          <w:tcPr>
            <w:tcW w:w="9631" w:type="dxa"/>
          </w:tcPr>
          <w:p w:rsidR="00611C13" w:rsidRPr="00013008" w:rsidRDefault="00611C13" w:rsidP="00EC56B7">
            <w:pPr>
              <w:rPr>
                <w:rFonts w:ascii="Times New Roman" w:hAnsi="Times New Roman"/>
              </w:rPr>
            </w:pPr>
            <w:r w:rsidRPr="00013008">
              <w:rPr>
                <w:rFonts w:ascii="Times New Roman" w:hAnsi="Times New Roman"/>
                <w:highlight w:val="green"/>
              </w:rPr>
              <w:t>Agreement:</w:t>
            </w:r>
            <w:r w:rsidRPr="00013008">
              <w:rPr>
                <w:rFonts w:ascii="Times New Roman" w:hAnsi="Times New Roman"/>
              </w:rPr>
              <w:t xml:space="preserve"> </w:t>
            </w:r>
            <w:r>
              <w:rPr>
                <w:rFonts w:ascii="Times New Roman" w:hAnsi="Times New Roman"/>
              </w:rPr>
              <w:t>(RAN1 #93)</w:t>
            </w:r>
          </w:p>
          <w:p w:rsidR="00611C13" w:rsidRPr="00013008" w:rsidRDefault="00611C13" w:rsidP="00611C13">
            <w:pPr>
              <w:pStyle w:val="ListParagraph"/>
              <w:numPr>
                <w:ilvl w:val="0"/>
                <w:numId w:val="38"/>
              </w:numPr>
              <w:spacing w:line="259" w:lineRule="auto"/>
              <w:ind w:firstLineChars="0"/>
              <w:contextualSpacing/>
              <w:rPr>
                <w:rFonts w:ascii="Times New Roman" w:hAnsi="Times New Roman"/>
                <w:sz w:val="20"/>
                <w:szCs w:val="20"/>
              </w:rPr>
            </w:pPr>
            <w:r w:rsidRPr="00013008">
              <w:rPr>
                <w:rFonts w:ascii="Times New Roman" w:hAnsi="Times New Roman"/>
                <w:sz w:val="20"/>
                <w:szCs w:val="20"/>
              </w:rPr>
              <w:t>Initial active DL/UL BWP is approximately 20MHz for 5GHz band</w:t>
            </w:r>
          </w:p>
          <w:p w:rsidR="00611C13" w:rsidRPr="00013008" w:rsidRDefault="00611C13" w:rsidP="00611C13">
            <w:pPr>
              <w:pStyle w:val="ListParagraph"/>
              <w:numPr>
                <w:ilvl w:val="1"/>
                <w:numId w:val="38"/>
              </w:numPr>
              <w:spacing w:line="259" w:lineRule="auto"/>
              <w:ind w:firstLineChars="0"/>
              <w:contextualSpacing/>
              <w:rPr>
                <w:rFonts w:ascii="Times New Roman" w:hAnsi="Times New Roman"/>
                <w:sz w:val="20"/>
                <w:szCs w:val="20"/>
              </w:rPr>
            </w:pPr>
            <w:r w:rsidRPr="00013008">
              <w:rPr>
                <w:rFonts w:ascii="Times New Roman" w:hAnsi="Times New Roman"/>
                <w:sz w:val="20"/>
                <w:szCs w:val="20"/>
              </w:rPr>
              <w:t>The final value will be quantized to number of PRBs</w:t>
            </w:r>
          </w:p>
          <w:p w:rsidR="00611C13" w:rsidRPr="00013008" w:rsidRDefault="00611C13" w:rsidP="00611C13">
            <w:pPr>
              <w:pStyle w:val="ListParagraph"/>
              <w:numPr>
                <w:ilvl w:val="0"/>
                <w:numId w:val="38"/>
              </w:numPr>
              <w:spacing w:line="259" w:lineRule="auto"/>
              <w:ind w:firstLineChars="0"/>
              <w:contextualSpacing/>
              <w:rPr>
                <w:rFonts w:ascii="Times New Roman" w:hAnsi="Times New Roman"/>
                <w:sz w:val="20"/>
                <w:szCs w:val="20"/>
              </w:rPr>
            </w:pPr>
            <w:r w:rsidRPr="00013008">
              <w:rPr>
                <w:rFonts w:ascii="Times New Roman" w:hAnsi="Times New Roman"/>
                <w:sz w:val="20"/>
                <w:szCs w:val="20"/>
              </w:rPr>
              <w:t>Initial active DL/UL BWP is approximately 20MHz for 6GHz band if similar channelization as 5GHz band is used for 6GHz band</w:t>
            </w:r>
          </w:p>
          <w:p w:rsidR="00611C13" w:rsidRPr="00013008" w:rsidRDefault="00611C13" w:rsidP="00611C13">
            <w:pPr>
              <w:pStyle w:val="ListParagraph"/>
              <w:numPr>
                <w:ilvl w:val="0"/>
                <w:numId w:val="38"/>
              </w:numPr>
              <w:spacing w:line="259" w:lineRule="auto"/>
              <w:ind w:firstLineChars="0"/>
              <w:contextualSpacing/>
              <w:rPr>
                <w:rFonts w:ascii="Times New Roman" w:hAnsi="Times New Roman"/>
                <w:sz w:val="20"/>
                <w:szCs w:val="20"/>
              </w:rPr>
            </w:pPr>
            <w:r w:rsidRPr="00013008">
              <w:rPr>
                <w:rFonts w:ascii="Times New Roman" w:hAnsi="Times New Roman"/>
                <w:sz w:val="20"/>
                <w:szCs w:val="20"/>
              </w:rPr>
              <w:t>FFS: Initial active DL/UL BWP for other applicable bands, including 60GHz</w:t>
            </w:r>
          </w:p>
        </w:tc>
      </w:tr>
    </w:tbl>
    <w:p w:rsidR="00611C13" w:rsidRPr="00013008" w:rsidRDefault="00611C13" w:rsidP="00611C13">
      <w:pPr>
        <w:rPr>
          <w:lang w:val="en-GB" w:eastAsia="zh-CN"/>
        </w:rPr>
      </w:pPr>
    </w:p>
    <w:tbl>
      <w:tblPr>
        <w:tblStyle w:val="TableGrid"/>
        <w:tblW w:w="0" w:type="auto"/>
        <w:tblLook w:val="04A0" w:firstRow="1" w:lastRow="0" w:firstColumn="1" w:lastColumn="0" w:noHBand="0" w:noVBand="1"/>
      </w:tblPr>
      <w:tblGrid>
        <w:gridCol w:w="9631"/>
      </w:tblGrid>
      <w:tr w:rsidR="00611C13" w:rsidRPr="00262696" w:rsidTr="00EC56B7">
        <w:tc>
          <w:tcPr>
            <w:tcW w:w="9631" w:type="dxa"/>
          </w:tcPr>
          <w:p w:rsidR="00611C13" w:rsidRPr="00262696" w:rsidRDefault="00611C13" w:rsidP="00EC56B7">
            <w:pPr>
              <w:rPr>
                <w:rFonts w:ascii="Times New Roman" w:hAnsi="Times New Roman"/>
                <w:lang w:eastAsia="x-none"/>
              </w:rPr>
            </w:pPr>
            <w:r w:rsidRPr="00262696">
              <w:rPr>
                <w:rFonts w:ascii="Times New Roman" w:hAnsi="Times New Roman"/>
                <w:highlight w:val="green"/>
                <w:lang w:eastAsia="x-none"/>
              </w:rPr>
              <w:t>Agreement:</w:t>
            </w:r>
            <w:r>
              <w:rPr>
                <w:rFonts w:ascii="Times New Roman" w:hAnsi="Times New Roman"/>
                <w:lang w:eastAsia="x-none"/>
              </w:rPr>
              <w:t xml:space="preserve"> (RAN1 #94bis)</w:t>
            </w:r>
          </w:p>
          <w:p w:rsidR="00611C13" w:rsidRPr="00262696" w:rsidRDefault="00611C13" w:rsidP="00EC56B7">
            <w:pPr>
              <w:rPr>
                <w:rFonts w:ascii="Times New Roman" w:hAnsi="Times New Roman"/>
                <w:lang w:eastAsia="x-none"/>
              </w:rPr>
            </w:pPr>
            <w:r w:rsidRPr="00262696">
              <w:rPr>
                <w:rFonts w:ascii="Times New Roman" w:hAnsi="Times New Roman"/>
                <w:lang w:eastAsia="x-none"/>
              </w:rPr>
              <w:t>Following options have been identified for potential RACH resource enhancements in NR-U beyond the flexibility already available in Rel-15:</w:t>
            </w:r>
          </w:p>
          <w:p w:rsidR="00611C13" w:rsidRPr="00262696" w:rsidRDefault="00611C13" w:rsidP="00611C13">
            <w:pPr>
              <w:numPr>
                <w:ilvl w:val="0"/>
                <w:numId w:val="36"/>
              </w:numPr>
              <w:overflowPunct/>
              <w:autoSpaceDE/>
              <w:autoSpaceDN/>
              <w:adjustRightInd/>
              <w:spacing w:after="0"/>
              <w:textAlignment w:val="auto"/>
              <w:rPr>
                <w:rFonts w:ascii="Times New Roman" w:hAnsi="Times New Roman"/>
                <w:b/>
                <w:lang w:eastAsia="x-none"/>
              </w:rPr>
            </w:pPr>
            <w:r w:rsidRPr="00262696">
              <w:rPr>
                <w:rFonts w:ascii="Times New Roman" w:hAnsi="Times New Roman"/>
                <w:b/>
                <w:lang w:eastAsia="x-none"/>
              </w:rPr>
              <w:t>Frequency-domain enhancement</w:t>
            </w:r>
          </w:p>
          <w:p w:rsidR="00611C13" w:rsidRPr="00A858E8" w:rsidRDefault="00611C13" w:rsidP="00611C13">
            <w:pPr>
              <w:numPr>
                <w:ilvl w:val="1"/>
                <w:numId w:val="36"/>
              </w:numPr>
              <w:overflowPunct/>
              <w:autoSpaceDE/>
              <w:autoSpaceDN/>
              <w:adjustRightInd/>
              <w:spacing w:after="0"/>
              <w:textAlignment w:val="auto"/>
              <w:rPr>
                <w:rFonts w:ascii="Times New Roman" w:hAnsi="Times New Roman"/>
                <w:lang w:eastAsia="x-none"/>
              </w:rPr>
            </w:pPr>
            <w:r w:rsidRPr="00A858E8">
              <w:rPr>
                <w:rFonts w:ascii="Times New Roman" w:hAnsi="Times New Roman"/>
                <w:lang w:eastAsia="x-none"/>
              </w:rPr>
              <w:t>Multiple PRACH resources across multiple LBT sub-bands/carriers for both contention-free and contention-based RA</w:t>
            </w:r>
          </w:p>
          <w:p w:rsidR="00611C13" w:rsidRPr="00262696" w:rsidRDefault="00611C13" w:rsidP="00611C13">
            <w:pPr>
              <w:numPr>
                <w:ilvl w:val="0"/>
                <w:numId w:val="36"/>
              </w:numPr>
              <w:overflowPunct/>
              <w:autoSpaceDE/>
              <w:autoSpaceDN/>
              <w:adjustRightInd/>
              <w:spacing w:after="0"/>
              <w:textAlignment w:val="auto"/>
              <w:rPr>
                <w:rFonts w:ascii="Times New Roman" w:hAnsi="Times New Roman"/>
                <w:b/>
                <w:lang w:eastAsia="x-none"/>
              </w:rPr>
            </w:pPr>
            <w:r w:rsidRPr="00262696">
              <w:rPr>
                <w:rFonts w:ascii="Times New Roman" w:hAnsi="Times New Roman"/>
                <w:b/>
                <w:lang w:eastAsia="x-none"/>
              </w:rPr>
              <w:t>Time-domain enhancements</w:t>
            </w:r>
          </w:p>
          <w:p w:rsidR="00611C13" w:rsidRPr="00262696" w:rsidRDefault="00611C13" w:rsidP="00611C13">
            <w:pPr>
              <w:numPr>
                <w:ilvl w:val="1"/>
                <w:numId w:val="36"/>
              </w:numPr>
              <w:overflowPunct/>
              <w:autoSpaceDE/>
              <w:autoSpaceDN/>
              <w:adjustRightInd/>
              <w:spacing w:after="0"/>
              <w:textAlignment w:val="auto"/>
              <w:rPr>
                <w:rFonts w:ascii="Times New Roman" w:hAnsi="Times New Roman"/>
                <w:lang w:eastAsia="x-none"/>
              </w:rPr>
            </w:pPr>
            <w:r w:rsidRPr="00262696">
              <w:rPr>
                <w:rFonts w:ascii="Times New Roman" w:hAnsi="Times New Roman"/>
                <w:lang w:eastAsia="x-none"/>
              </w:rPr>
              <w:lastRenderedPageBreak/>
              <w:t xml:space="preserve">For connected mode UE, scheduling of PRACH resources via DCI. </w:t>
            </w:r>
          </w:p>
          <w:p w:rsidR="00611C13" w:rsidRPr="00262696" w:rsidRDefault="00611C13" w:rsidP="00611C13">
            <w:pPr>
              <w:numPr>
                <w:ilvl w:val="2"/>
                <w:numId w:val="36"/>
              </w:numPr>
              <w:overflowPunct/>
              <w:autoSpaceDE/>
              <w:autoSpaceDN/>
              <w:adjustRightInd/>
              <w:spacing w:after="0"/>
              <w:textAlignment w:val="auto"/>
              <w:rPr>
                <w:rFonts w:ascii="Times New Roman" w:hAnsi="Times New Roman"/>
                <w:lang w:eastAsia="x-none"/>
              </w:rPr>
            </w:pPr>
            <w:r w:rsidRPr="00262696">
              <w:rPr>
                <w:rFonts w:ascii="Times New Roman" w:hAnsi="Times New Roman"/>
                <w:lang w:eastAsia="x-none"/>
              </w:rPr>
              <w:t>Triggered PRACH within TXOP can use a new resource</w:t>
            </w:r>
          </w:p>
          <w:p w:rsidR="00611C13" w:rsidRPr="00262696" w:rsidRDefault="00611C13" w:rsidP="00611C13">
            <w:pPr>
              <w:numPr>
                <w:ilvl w:val="1"/>
                <w:numId w:val="36"/>
              </w:numPr>
              <w:overflowPunct/>
              <w:autoSpaceDE/>
              <w:autoSpaceDN/>
              <w:adjustRightInd/>
              <w:spacing w:after="0"/>
              <w:textAlignment w:val="auto"/>
              <w:rPr>
                <w:rFonts w:ascii="Times New Roman" w:hAnsi="Times New Roman"/>
                <w:lang w:eastAsia="x-none"/>
              </w:rPr>
            </w:pPr>
            <w:r w:rsidRPr="00262696">
              <w:rPr>
                <w:rFonts w:ascii="Times New Roman" w:hAnsi="Times New Roman"/>
                <w:lang w:eastAsia="x-none"/>
              </w:rPr>
              <w:t>For idle mode UE, scheduling of PRACH resources via paging</w:t>
            </w:r>
          </w:p>
          <w:p w:rsidR="00611C13" w:rsidRPr="00262696" w:rsidRDefault="00611C13" w:rsidP="00611C13">
            <w:pPr>
              <w:numPr>
                <w:ilvl w:val="2"/>
                <w:numId w:val="36"/>
              </w:numPr>
              <w:overflowPunct/>
              <w:autoSpaceDE/>
              <w:autoSpaceDN/>
              <w:adjustRightInd/>
              <w:spacing w:after="0"/>
              <w:textAlignment w:val="auto"/>
              <w:rPr>
                <w:rFonts w:ascii="Times New Roman" w:hAnsi="Times New Roman"/>
                <w:lang w:eastAsia="x-none"/>
              </w:rPr>
            </w:pPr>
            <w:r w:rsidRPr="00262696">
              <w:rPr>
                <w:rFonts w:ascii="Times New Roman" w:hAnsi="Times New Roman"/>
                <w:lang w:eastAsia="x-none"/>
              </w:rPr>
              <w:t>Note: potential inefficiency in network resource due to paging across multiple cells</w:t>
            </w:r>
          </w:p>
          <w:p w:rsidR="00611C13" w:rsidRPr="00262696" w:rsidRDefault="00611C13" w:rsidP="00611C13">
            <w:pPr>
              <w:numPr>
                <w:ilvl w:val="1"/>
                <w:numId w:val="36"/>
              </w:numPr>
              <w:overflowPunct/>
              <w:autoSpaceDE/>
              <w:autoSpaceDN/>
              <w:adjustRightInd/>
              <w:spacing w:after="0"/>
              <w:textAlignment w:val="auto"/>
              <w:rPr>
                <w:rFonts w:ascii="Times New Roman" w:hAnsi="Times New Roman"/>
                <w:lang w:eastAsia="x-none"/>
              </w:rPr>
            </w:pPr>
            <w:r w:rsidRPr="00262696">
              <w:rPr>
                <w:rFonts w:ascii="Times New Roman" w:hAnsi="Times New Roman"/>
                <w:lang w:eastAsia="x-none"/>
              </w:rPr>
              <w:t>Additional, new RACH resources are used immediately following detection of DRS transmission</w:t>
            </w:r>
          </w:p>
          <w:p w:rsidR="00611C13" w:rsidRPr="00262696" w:rsidRDefault="00611C13" w:rsidP="00611C13">
            <w:pPr>
              <w:numPr>
                <w:ilvl w:val="1"/>
                <w:numId w:val="36"/>
              </w:numPr>
              <w:overflowPunct/>
              <w:autoSpaceDE/>
              <w:autoSpaceDN/>
              <w:adjustRightInd/>
              <w:spacing w:after="0"/>
              <w:textAlignment w:val="auto"/>
              <w:rPr>
                <w:rFonts w:ascii="Times New Roman" w:hAnsi="Times New Roman"/>
                <w:lang w:eastAsia="x-none"/>
              </w:rPr>
            </w:pPr>
            <w:r w:rsidRPr="00262696">
              <w:rPr>
                <w:rFonts w:ascii="Times New Roman" w:hAnsi="Times New Roman"/>
                <w:lang w:eastAsia="x-none"/>
              </w:rPr>
              <w:t>Multiple PRACH transmissions before Msg2 reception in RAR window for initial access</w:t>
            </w:r>
          </w:p>
          <w:p w:rsidR="00611C13" w:rsidRPr="00262696" w:rsidRDefault="00611C13" w:rsidP="00611C13">
            <w:pPr>
              <w:numPr>
                <w:ilvl w:val="2"/>
                <w:numId w:val="36"/>
              </w:numPr>
              <w:overflowPunct/>
              <w:autoSpaceDE/>
              <w:autoSpaceDN/>
              <w:adjustRightInd/>
              <w:spacing w:after="0"/>
              <w:textAlignment w:val="auto"/>
              <w:rPr>
                <w:rFonts w:ascii="Times New Roman" w:hAnsi="Times New Roman"/>
                <w:lang w:eastAsia="x-none"/>
              </w:rPr>
            </w:pPr>
            <w:r w:rsidRPr="00262696">
              <w:rPr>
                <w:rFonts w:ascii="Times New Roman" w:hAnsi="Times New Roman"/>
                <w:lang w:eastAsia="x-none"/>
              </w:rPr>
              <w:t>Number of allowed transmissions is pre-defined or indicated, e.g., in RMSI</w:t>
            </w:r>
          </w:p>
          <w:p w:rsidR="00611C13" w:rsidRDefault="00611C13" w:rsidP="00611C13">
            <w:pPr>
              <w:numPr>
                <w:ilvl w:val="2"/>
                <w:numId w:val="36"/>
              </w:numPr>
              <w:overflowPunct/>
              <w:autoSpaceDE/>
              <w:autoSpaceDN/>
              <w:adjustRightInd/>
              <w:spacing w:after="0"/>
              <w:textAlignment w:val="auto"/>
              <w:rPr>
                <w:rFonts w:ascii="Times New Roman" w:hAnsi="Times New Roman"/>
                <w:lang w:eastAsia="x-none"/>
              </w:rPr>
            </w:pPr>
            <w:r w:rsidRPr="00262696">
              <w:rPr>
                <w:rFonts w:ascii="Times New Roman" w:hAnsi="Times New Roman"/>
                <w:lang w:eastAsia="x-none"/>
              </w:rPr>
              <w:t>FFS: How to handle potential multiple RARs to same UE</w:t>
            </w:r>
          </w:p>
          <w:p w:rsidR="00611C13" w:rsidRPr="00262696" w:rsidRDefault="00611C13" w:rsidP="00611C13">
            <w:pPr>
              <w:numPr>
                <w:ilvl w:val="1"/>
                <w:numId w:val="36"/>
              </w:numPr>
              <w:overflowPunct/>
              <w:autoSpaceDE/>
              <w:autoSpaceDN/>
              <w:adjustRightInd/>
              <w:spacing w:after="0"/>
              <w:textAlignment w:val="auto"/>
              <w:rPr>
                <w:rFonts w:ascii="Times New Roman" w:hAnsi="Times New Roman"/>
                <w:lang w:eastAsia="x-none"/>
              </w:rPr>
            </w:pPr>
            <w:r w:rsidRPr="00262696">
              <w:rPr>
                <w:rFonts w:ascii="Times New Roman" w:hAnsi="Times New Roman"/>
                <w:lang w:eastAsia="x-none"/>
              </w:rPr>
              <w:t>Group wise SSB-to-RO mapping by frequency first-time second manner, where grouping is in time domain</w:t>
            </w:r>
          </w:p>
        </w:tc>
      </w:tr>
    </w:tbl>
    <w:p w:rsidR="00611C13" w:rsidRDefault="00611C13" w:rsidP="00611C13">
      <w:pPr>
        <w:rPr>
          <w:lang w:val="en-GB" w:eastAsia="zh-CN"/>
        </w:rPr>
      </w:pPr>
    </w:p>
    <w:p w:rsidR="00611C13" w:rsidRDefault="00611C13" w:rsidP="00611C13">
      <w:r>
        <w:rPr>
          <w:lang w:val="en-GB" w:eastAsia="zh-CN"/>
        </w:rPr>
        <w:t xml:space="preserve">Several options have been proposed to deal with </w:t>
      </w:r>
      <w:r>
        <w:t>t</w:t>
      </w:r>
      <w:r w:rsidRPr="00C64ECB">
        <w:t>he issue of reduced transmission opportunit</w:t>
      </w:r>
      <w:r>
        <w:t xml:space="preserve">ies due to LBT failure for Msg1 </w:t>
      </w:r>
      <w:r w:rsidRPr="00C64ECB">
        <w:t>transmission in 4-step RACH procedure</w:t>
      </w:r>
      <w:r>
        <w:t xml:space="preserve">. In this sub-section, we share our views on these proposals. </w:t>
      </w:r>
    </w:p>
    <w:p w:rsidR="00611C13" w:rsidRDefault="00611C13" w:rsidP="00611C13">
      <w:pPr>
        <w:rPr>
          <w:lang w:val="en-GB" w:eastAsia="zh-CN"/>
        </w:rPr>
      </w:pPr>
      <w:r>
        <w:t>In 1.a., it is proposed that m</w:t>
      </w:r>
      <w:r w:rsidRPr="0082473B">
        <w:t xml:space="preserve">ultiple PRACH resources </w:t>
      </w:r>
      <w:r>
        <w:t xml:space="preserve">are allocated </w:t>
      </w:r>
      <w:r w:rsidRPr="0082473B">
        <w:t>across multiple LBT sub-bands/carriers for both contention-free and contention-based RA</w:t>
      </w:r>
      <w:r>
        <w:t xml:space="preserve">. In RAN1 #93, it has been agreed that </w:t>
      </w:r>
      <w:r>
        <w:rPr>
          <w:lang w:val="en-GB" w:eastAsia="zh-CN"/>
        </w:rPr>
        <w:t>the initial active DL/UL BWP is approximately 20MHz. Therefore, in initial access and idle mode, it is not clear how this can be supported without extending the BW of the initial active UL BWP or increasing the number of initial active UL BWPs.</w:t>
      </w:r>
    </w:p>
    <w:p w:rsidR="00611C13" w:rsidRDefault="00611C13" w:rsidP="00611C13">
      <w:pPr>
        <w:pStyle w:val="Caption"/>
      </w:pPr>
      <w:bookmarkStart w:id="13" w:name="_Ref534988931"/>
      <w:r>
        <w:t xml:space="preserve">Observation </w:t>
      </w:r>
      <w:r w:rsidR="002A7487">
        <w:fldChar w:fldCharType="begin"/>
      </w:r>
      <w:r w:rsidR="002A7487">
        <w:instrText xml:space="preserve"> SEQ Observation \* ARABIC </w:instrText>
      </w:r>
      <w:r w:rsidR="002A7487">
        <w:fldChar w:fldCharType="separate"/>
      </w:r>
      <w:r w:rsidR="00362242">
        <w:rPr>
          <w:noProof/>
        </w:rPr>
        <w:t>1</w:t>
      </w:r>
      <w:r w:rsidR="002A7487">
        <w:rPr>
          <w:noProof/>
        </w:rPr>
        <w:fldChar w:fldCharType="end"/>
      </w:r>
      <w:r>
        <w:t>: It is not clear how multiple PRACH resources can be allocated across multiple LBT sub-bands/carriers for UEs in initial access or idle mode since it has been agreed initial active DL/UL BWPs are approximately 20MHz.</w:t>
      </w:r>
      <w:bookmarkEnd w:id="13"/>
      <w:r>
        <w:t xml:space="preserve"> </w:t>
      </w:r>
    </w:p>
    <w:p w:rsidR="00611C13" w:rsidRPr="00611C13" w:rsidRDefault="00611C13" w:rsidP="00611C13">
      <w:pPr>
        <w:pStyle w:val="Caption"/>
      </w:pPr>
      <w:bookmarkStart w:id="14" w:name="_Ref16919128"/>
      <w:r>
        <w:t xml:space="preserve">Observation </w:t>
      </w:r>
      <w:r w:rsidR="002A7487">
        <w:fldChar w:fldCharType="begin"/>
      </w:r>
      <w:r w:rsidR="002A7487">
        <w:instrText xml:space="preserve"> SEQ Observation \* ARABIC </w:instrText>
      </w:r>
      <w:r w:rsidR="002A7487">
        <w:fldChar w:fldCharType="separate"/>
      </w:r>
      <w:r w:rsidR="00362242">
        <w:rPr>
          <w:noProof/>
        </w:rPr>
        <w:t>2</w:t>
      </w:r>
      <w:r w:rsidR="002A7487">
        <w:rPr>
          <w:noProof/>
        </w:rPr>
        <w:fldChar w:fldCharType="end"/>
      </w:r>
      <w:r>
        <w:t>: On the other hand, it is beneficial to have PRACH resources over multiple LBT sub-bands/carriers for UE to increase the LBT success rate.</w:t>
      </w:r>
      <w:bookmarkEnd w:id="14"/>
      <w:r>
        <w:t xml:space="preserve">  </w:t>
      </w:r>
    </w:p>
    <w:p w:rsidR="00611C13" w:rsidRDefault="00611C13" w:rsidP="00611C13">
      <w:pPr>
        <w:pStyle w:val="Caption"/>
        <w:rPr>
          <w:b w:val="0"/>
        </w:rPr>
      </w:pPr>
      <w:bookmarkStart w:id="15" w:name="_Ref16919286"/>
      <w:r>
        <w:t xml:space="preserve">Proposal </w:t>
      </w:r>
      <w:r w:rsidR="002A7487">
        <w:fldChar w:fldCharType="begin"/>
      </w:r>
      <w:r w:rsidR="002A7487">
        <w:instrText xml:space="preserve"> SEQ Proposal \* ARABIC </w:instrText>
      </w:r>
      <w:r w:rsidR="002A7487">
        <w:fldChar w:fldCharType="separate"/>
      </w:r>
      <w:r w:rsidR="00362242">
        <w:rPr>
          <w:noProof/>
        </w:rPr>
        <w:t>9</w:t>
      </w:r>
      <w:r w:rsidR="002A7487">
        <w:rPr>
          <w:noProof/>
        </w:rPr>
        <w:fldChar w:fldCharType="end"/>
      </w:r>
      <w:r>
        <w:t>: RACH resource enhancement in frequency domain can be considered so that multiple RACH resources can be allocated across multiple LBT sub-bands/carriers.</w:t>
      </w:r>
      <w:bookmarkEnd w:id="15"/>
    </w:p>
    <w:p w:rsidR="00611C13" w:rsidRDefault="00611C13" w:rsidP="00611C13">
      <w:pPr>
        <w:pStyle w:val="Caption"/>
        <w:rPr>
          <w:b w:val="0"/>
        </w:rPr>
      </w:pPr>
      <w:r>
        <w:rPr>
          <w:b w:val="0"/>
        </w:rPr>
        <w:t xml:space="preserve">As to 2.a., scheduling of PRACH resources via DCI for connected mode UE is worth of considering since it enables PRACH transmission in a gNB-initiated COT. However, if these resources can also be used for CBRA, it is better to allocate them in the end of a COT or multiplex them with other scheduled transmissions. In this way, gNB reduces the risk of losing the channel when the triggered PRACH resources are not being used. </w:t>
      </w:r>
    </w:p>
    <w:p w:rsidR="00611C13" w:rsidRPr="00611C13" w:rsidRDefault="00611C13" w:rsidP="00611C13">
      <w:pPr>
        <w:pStyle w:val="Caption"/>
      </w:pPr>
      <w:bookmarkStart w:id="16" w:name="_Ref534989008"/>
      <w:r>
        <w:t xml:space="preserve">Proposal </w:t>
      </w:r>
      <w:r w:rsidR="002A7487">
        <w:fldChar w:fldCharType="begin"/>
      </w:r>
      <w:r w:rsidR="002A7487">
        <w:instrText xml:space="preserve"> SEQ Proposal \* ARABIC </w:instrText>
      </w:r>
      <w:r w:rsidR="002A7487">
        <w:fldChar w:fldCharType="separate"/>
      </w:r>
      <w:r w:rsidR="00362242">
        <w:rPr>
          <w:noProof/>
        </w:rPr>
        <w:t>10</w:t>
      </w:r>
      <w:r w:rsidR="002A7487">
        <w:rPr>
          <w:noProof/>
        </w:rPr>
        <w:fldChar w:fldCharType="end"/>
      </w:r>
      <w:r>
        <w:t>: S</w:t>
      </w:r>
      <w:r w:rsidRPr="00DA2B76">
        <w:t>cheduling of PRACH resources via DCI</w:t>
      </w:r>
      <w:r>
        <w:t xml:space="preserve"> can be considered for NR-U.</w:t>
      </w:r>
      <w:bookmarkEnd w:id="16"/>
      <w:r>
        <w:t xml:space="preserve"> </w:t>
      </w:r>
    </w:p>
    <w:p w:rsidR="00611C13" w:rsidRDefault="00611C13" w:rsidP="00611C13">
      <w:pPr>
        <w:rPr>
          <w:lang w:val="en-GB" w:eastAsia="zh-CN"/>
        </w:rPr>
      </w:pPr>
      <w:r>
        <w:rPr>
          <w:lang w:val="en-GB" w:eastAsia="zh-CN"/>
        </w:rPr>
        <w:t>Regarding 2.b., as pointed out in the note, it is not resource efficient to schedule PRACH resources via paging since paging is sent to multiple cells.</w:t>
      </w:r>
    </w:p>
    <w:p w:rsidR="00611C13" w:rsidRDefault="00611C13" w:rsidP="00611C13">
      <w:pPr>
        <w:pStyle w:val="Caption"/>
        <w:rPr>
          <w:lang w:val="en-GB" w:eastAsia="zh-CN"/>
        </w:rPr>
      </w:pPr>
      <w:bookmarkStart w:id="17" w:name="_Ref534989014"/>
      <w:r>
        <w:t xml:space="preserve">Proposal </w:t>
      </w:r>
      <w:r w:rsidR="002A7487">
        <w:fldChar w:fldCharType="begin"/>
      </w:r>
      <w:r w:rsidR="002A7487">
        <w:instrText xml:space="preserve"> SEQ Proposal \* ARABIC </w:instrText>
      </w:r>
      <w:r w:rsidR="002A7487">
        <w:fldChar w:fldCharType="separate"/>
      </w:r>
      <w:r w:rsidR="00362242">
        <w:rPr>
          <w:noProof/>
        </w:rPr>
        <w:t>11</w:t>
      </w:r>
      <w:r w:rsidR="002A7487">
        <w:rPr>
          <w:noProof/>
        </w:rPr>
        <w:fldChar w:fldCharType="end"/>
      </w:r>
      <w:r>
        <w:t xml:space="preserve">: </w:t>
      </w:r>
      <w:r w:rsidRPr="00E83D2A">
        <w:t>Scheduling of PRACH resources via paging for idle mode UEs shall not be supported in NR-U.</w:t>
      </w:r>
      <w:bookmarkEnd w:id="17"/>
      <w:r>
        <w:t xml:space="preserve"> </w:t>
      </w:r>
      <w:r>
        <w:rPr>
          <w:lang w:val="en-GB" w:eastAsia="zh-CN"/>
        </w:rPr>
        <w:t xml:space="preserve"> </w:t>
      </w:r>
    </w:p>
    <w:p w:rsidR="00611C13" w:rsidRDefault="00611C13" w:rsidP="00611C13">
      <w:pPr>
        <w:rPr>
          <w:lang w:val="en-GB" w:eastAsia="zh-CN"/>
        </w:rPr>
      </w:pPr>
      <w:r>
        <w:rPr>
          <w:lang w:val="en-GB" w:eastAsia="zh-CN"/>
        </w:rPr>
        <w:t xml:space="preserve">Option 2.c. allocates additional RACH resources following DRS transmission. This not only provides possibility to accelerate the initial access procedure but also the beam failure recovery request procedure.  </w:t>
      </w:r>
    </w:p>
    <w:p w:rsidR="00611C13" w:rsidRDefault="00611C13" w:rsidP="00176EA5">
      <w:pPr>
        <w:pStyle w:val="Caption"/>
      </w:pPr>
      <w:bookmarkStart w:id="18" w:name="_Ref534989020"/>
      <w:r>
        <w:t xml:space="preserve">Proposal </w:t>
      </w:r>
      <w:r w:rsidR="002A7487">
        <w:fldChar w:fldCharType="begin"/>
      </w:r>
      <w:r w:rsidR="002A7487">
        <w:instrText xml:space="preserve"> SEQ Proposal \* ARABIC </w:instrText>
      </w:r>
      <w:r w:rsidR="002A7487">
        <w:fldChar w:fldCharType="separate"/>
      </w:r>
      <w:r w:rsidR="00362242">
        <w:rPr>
          <w:noProof/>
        </w:rPr>
        <w:t>12</w:t>
      </w:r>
      <w:r w:rsidR="002A7487">
        <w:rPr>
          <w:noProof/>
        </w:rPr>
        <w:fldChar w:fldCharType="end"/>
      </w:r>
      <w:r>
        <w:t>: Allocating</w:t>
      </w:r>
      <w:r w:rsidRPr="004B689C">
        <w:t xml:space="preserve"> additional RACH resources immediately followin</w:t>
      </w:r>
      <w:r>
        <w:t>g DRS transmission can be considered in NR-U.</w:t>
      </w:r>
      <w:bookmarkEnd w:id="18"/>
      <w:r>
        <w:t xml:space="preserve"> </w:t>
      </w:r>
    </w:p>
    <w:p w:rsidR="00611C13" w:rsidRPr="00480C09" w:rsidRDefault="00611C13" w:rsidP="00611C13">
      <w:r>
        <w:t xml:space="preserve">In 2.d., it is proposed </w:t>
      </w:r>
      <w:r>
        <w:rPr>
          <w:lang w:eastAsia="x-none"/>
        </w:rPr>
        <w:t>m</w:t>
      </w:r>
      <w:r w:rsidRPr="00262696">
        <w:rPr>
          <w:lang w:eastAsia="x-none"/>
        </w:rPr>
        <w:t xml:space="preserve">ultiple PRACH transmissions </w:t>
      </w:r>
      <w:r>
        <w:rPr>
          <w:lang w:eastAsia="x-none"/>
        </w:rPr>
        <w:t xml:space="preserve">are allowed </w:t>
      </w:r>
      <w:r w:rsidRPr="00262696">
        <w:rPr>
          <w:lang w:eastAsia="x-none"/>
        </w:rPr>
        <w:t>before Msg2 reception in RAR window for initial access</w:t>
      </w:r>
      <w:r>
        <w:rPr>
          <w:lang w:val="en-GB" w:eastAsia="zh-CN"/>
        </w:rPr>
        <w:t xml:space="preserve">. In our view, to mitigate the impact of LBT failure on PRACH transmission, providing multiple PRACH transmission “opportunities” or reducing LBT overhead by proving RACH resources in gNB-initiated COTs may be helpful. However, once UE passes LBT for one of the provided opportunities, it only needs to transmit one Msg1. There is no need to actually transmit multiple Msg1s. It is unclear to us how by allowing multiple Msg1 transmissions would help to cope with the impact of LBT failure. </w:t>
      </w:r>
    </w:p>
    <w:p w:rsidR="00611C13" w:rsidRDefault="00611C13" w:rsidP="00611C13">
      <w:pPr>
        <w:pStyle w:val="Caption"/>
      </w:pPr>
      <w:bookmarkStart w:id="19" w:name="_Ref534988937"/>
      <w:r>
        <w:t xml:space="preserve">Observation </w:t>
      </w:r>
      <w:r w:rsidR="002A7487">
        <w:fldChar w:fldCharType="begin"/>
      </w:r>
      <w:r w:rsidR="002A7487">
        <w:instrText xml:space="preserve"> SEQ Observation \* ARABIC </w:instrText>
      </w:r>
      <w:r w:rsidR="002A7487">
        <w:fldChar w:fldCharType="separate"/>
      </w:r>
      <w:r w:rsidR="00362242">
        <w:rPr>
          <w:noProof/>
        </w:rPr>
        <w:t>3</w:t>
      </w:r>
      <w:r w:rsidR="002A7487">
        <w:rPr>
          <w:noProof/>
        </w:rPr>
        <w:fldChar w:fldCharType="end"/>
      </w:r>
      <w:r>
        <w:t>: Providing multiple Msg1 transmission opportunities is beneficial to mitigate the impact of LBT failures. However, it is not clear why the actual transmission of multiple Msg1s is needed.</w:t>
      </w:r>
      <w:bookmarkEnd w:id="19"/>
      <w:r>
        <w:t xml:space="preserve"> </w:t>
      </w:r>
    </w:p>
    <w:p w:rsidR="00611C13" w:rsidRDefault="00611C13" w:rsidP="00176EA5">
      <w:pPr>
        <w:pStyle w:val="Caption"/>
      </w:pPr>
      <w:bookmarkStart w:id="20" w:name="_Ref534989025"/>
      <w:r>
        <w:t xml:space="preserve">Proposal </w:t>
      </w:r>
      <w:r w:rsidR="002A7487">
        <w:fldChar w:fldCharType="begin"/>
      </w:r>
      <w:r w:rsidR="002A7487">
        <w:instrText xml:space="preserve"> SEQ Proposal \* ARA</w:instrText>
      </w:r>
      <w:r w:rsidR="002A7487">
        <w:instrText xml:space="preserve">BIC </w:instrText>
      </w:r>
      <w:r w:rsidR="002A7487">
        <w:fldChar w:fldCharType="separate"/>
      </w:r>
      <w:r w:rsidR="00362242">
        <w:rPr>
          <w:noProof/>
        </w:rPr>
        <w:t>13</w:t>
      </w:r>
      <w:r w:rsidR="002A7487">
        <w:rPr>
          <w:noProof/>
        </w:rPr>
        <w:fldChar w:fldCharType="end"/>
      </w:r>
      <w:r>
        <w:t xml:space="preserve">:  </w:t>
      </w:r>
      <w:r w:rsidRPr="00E36230">
        <w:t>Multiple PRACH transmissions before Msg2 reception in RAR window</w:t>
      </w:r>
      <w:r>
        <w:t xml:space="preserve"> shall not be supported in NR-U.</w:t>
      </w:r>
      <w:bookmarkEnd w:id="20"/>
    </w:p>
    <w:p w:rsidR="00611C13" w:rsidRPr="00480C09" w:rsidRDefault="00611C13" w:rsidP="00611C13">
      <w:pPr>
        <w:rPr>
          <w:lang w:val="en-GB"/>
        </w:rPr>
      </w:pPr>
      <w:r>
        <w:t>Finally, for 2.e., g</w:t>
      </w:r>
      <w:r w:rsidRPr="00480C09">
        <w:t>rouping in a manner of frequency first and time second can be achieved by current NR PRACH configurations. For example, by allocating a suitable number of PRACH resources in the frequency dimension to be one and the number of SSBs per RACH occasion to be 1/4, one can get four RACH occasions in the time dimension corresponding to the same SSB.</w:t>
      </w:r>
    </w:p>
    <w:p w:rsidR="00611C13" w:rsidRDefault="00611C13" w:rsidP="00611C13">
      <w:pPr>
        <w:pStyle w:val="Caption"/>
      </w:pPr>
      <w:bookmarkStart w:id="21" w:name="_Ref534988943"/>
      <w:r>
        <w:lastRenderedPageBreak/>
        <w:t xml:space="preserve">Observation </w:t>
      </w:r>
      <w:r w:rsidR="002A7487">
        <w:fldChar w:fldCharType="begin"/>
      </w:r>
      <w:r w:rsidR="002A7487">
        <w:instrText xml:space="preserve"> SEQ Observation \* </w:instrText>
      </w:r>
      <w:r w:rsidR="002A7487">
        <w:instrText xml:space="preserve">ARABIC </w:instrText>
      </w:r>
      <w:r w:rsidR="002A7487">
        <w:fldChar w:fldCharType="separate"/>
      </w:r>
      <w:r w:rsidR="00362242">
        <w:rPr>
          <w:noProof/>
        </w:rPr>
        <w:t>4</w:t>
      </w:r>
      <w:r w:rsidR="002A7487">
        <w:rPr>
          <w:noProof/>
        </w:rPr>
        <w:fldChar w:fldCharType="end"/>
      </w:r>
      <w:r>
        <w:t xml:space="preserve">: </w:t>
      </w:r>
      <w:r w:rsidRPr="00EE667D">
        <w:t>Group wise SSB-to-RO mapping by frequency first-time second manner</w:t>
      </w:r>
      <w:r>
        <w:t xml:space="preserve"> seems already supported by NR PRACH configurations.</w:t>
      </w:r>
      <w:bookmarkEnd w:id="21"/>
      <w:r>
        <w:t xml:space="preserve"> </w:t>
      </w:r>
    </w:p>
    <w:p w:rsidR="00611C13" w:rsidRDefault="00611C13" w:rsidP="00611C13">
      <w:pPr>
        <w:pStyle w:val="Heading2"/>
        <w:rPr>
          <w:lang w:eastAsia="ko-KR"/>
        </w:rPr>
      </w:pPr>
      <w:r>
        <w:rPr>
          <w:lang w:eastAsia="ko-KR"/>
        </w:rPr>
        <w:t>RACH occasion validation rules</w:t>
      </w:r>
    </w:p>
    <w:p w:rsidR="00611C13" w:rsidRDefault="00611C13" w:rsidP="00611C13">
      <w:pPr>
        <w:jc w:val="both"/>
        <w:rPr>
          <w:lang w:val="en-GB" w:eastAsia="ko-KR"/>
        </w:rPr>
      </w:pPr>
      <w:r>
        <w:rPr>
          <w:lang w:val="en-GB" w:eastAsia="ko-KR"/>
        </w:rPr>
        <w:t xml:space="preserve">In NR unpaired licensed spectrum, UE needs to take the positions of SS/PBCH blocks into consideration when it determines whether or not a RACH occasion </w:t>
      </w:r>
      <w:r w:rsidRPr="003E43FB">
        <w:rPr>
          <w:lang w:val="en-GB" w:eastAsia="ko-KR"/>
        </w:rPr>
        <w:t xml:space="preserve">(time-frequency resource) </w:t>
      </w:r>
      <w:r>
        <w:rPr>
          <w:lang w:val="en-GB" w:eastAsia="ko-KR"/>
        </w:rPr>
        <w:t xml:space="preserve">is valid [Sec. 8.1 of TS 38.213]. </w:t>
      </w:r>
      <w:r w:rsidRPr="003E43FB">
        <w:rPr>
          <w:lang w:val="en-GB" w:eastAsia="ko-KR"/>
        </w:rPr>
        <w:t xml:space="preserve">In unlicensed spectrum, </w:t>
      </w:r>
      <w:r>
        <w:rPr>
          <w:lang w:val="en-GB" w:eastAsia="ko-KR"/>
        </w:rPr>
        <w:t>there are more than one possible position for gNB to transmit NR-U DRS containing SS/PBCH blocks</w:t>
      </w:r>
      <w:r w:rsidRPr="003E43FB">
        <w:rPr>
          <w:lang w:val="en-GB" w:eastAsia="ko-KR"/>
        </w:rPr>
        <w:t xml:space="preserve"> </w:t>
      </w:r>
      <w:r>
        <w:rPr>
          <w:lang w:val="en-GB" w:eastAsia="ko-KR"/>
        </w:rPr>
        <w:t>within a configured D</w:t>
      </w:r>
      <w:r w:rsidRPr="003E43FB">
        <w:rPr>
          <w:lang w:val="en-GB" w:eastAsia="ko-KR"/>
        </w:rPr>
        <w:t xml:space="preserve">MTC window. Hence, </w:t>
      </w:r>
      <w:r>
        <w:rPr>
          <w:lang w:val="en-GB" w:eastAsia="ko-KR"/>
        </w:rPr>
        <w:t xml:space="preserve">the rules about </w:t>
      </w:r>
      <w:r w:rsidRPr="003E43FB">
        <w:rPr>
          <w:lang w:val="en-GB" w:eastAsia="ko-KR"/>
        </w:rPr>
        <w:t xml:space="preserve">how to determine whether a configured RACH occasion </w:t>
      </w:r>
      <w:r>
        <w:rPr>
          <w:lang w:val="en-GB" w:eastAsia="ko-KR"/>
        </w:rPr>
        <w:t>is valid need</w:t>
      </w:r>
      <w:r w:rsidRPr="003E43FB">
        <w:rPr>
          <w:lang w:val="en-GB" w:eastAsia="ko-KR"/>
        </w:rPr>
        <w:t xml:space="preserve"> modification.</w:t>
      </w:r>
      <w:r>
        <w:rPr>
          <w:lang w:val="en-GB" w:eastAsia="ko-KR"/>
        </w:rPr>
        <w:t xml:space="preserve"> In our view, </w:t>
      </w:r>
      <w:r>
        <w:rPr>
          <w:lang w:eastAsia="ko-KR"/>
        </w:rPr>
        <w:t>i</w:t>
      </w:r>
      <w:r w:rsidRPr="009A6DC2">
        <w:rPr>
          <w:lang w:eastAsia="ko-KR"/>
        </w:rPr>
        <w:t>f the time span of a RACH occasion overlaps with t</w:t>
      </w:r>
      <w:r>
        <w:rPr>
          <w:lang w:eastAsia="ko-KR"/>
        </w:rPr>
        <w:t>he time duration of a configured DMTC window</w:t>
      </w:r>
      <w:r w:rsidRPr="009A6DC2">
        <w:rPr>
          <w:lang w:eastAsia="ko-KR"/>
        </w:rPr>
        <w:t>, then it is not regarded as a valid RACH occasion.</w:t>
      </w:r>
    </w:p>
    <w:p w:rsidR="00611C13" w:rsidRDefault="00611C13" w:rsidP="00611C13">
      <w:pPr>
        <w:pStyle w:val="Caption"/>
        <w:jc w:val="both"/>
      </w:pPr>
      <w:bookmarkStart w:id="22" w:name="_Ref534988949"/>
      <w:r>
        <w:t xml:space="preserve">Observation </w:t>
      </w:r>
      <w:r w:rsidR="002A7487">
        <w:fldChar w:fldCharType="begin"/>
      </w:r>
      <w:r w:rsidR="002A7487">
        <w:instrText xml:space="preserve"> SEQ Observation \* ARABIC </w:instrText>
      </w:r>
      <w:r w:rsidR="002A7487">
        <w:fldChar w:fldCharType="separate"/>
      </w:r>
      <w:r w:rsidR="00362242">
        <w:rPr>
          <w:noProof/>
        </w:rPr>
        <w:t>5</w:t>
      </w:r>
      <w:r w:rsidR="002A7487">
        <w:rPr>
          <w:noProof/>
        </w:rPr>
        <w:fldChar w:fldCharType="end"/>
      </w:r>
      <w:r>
        <w:t>: In NR, the positions of SS/PBCH blocks are taken into account for determining the validation of a RACH occasion.</w:t>
      </w:r>
      <w:bookmarkEnd w:id="22"/>
      <w:r>
        <w:t xml:space="preserve"> </w:t>
      </w:r>
    </w:p>
    <w:p w:rsidR="00611C13" w:rsidRDefault="00611C13" w:rsidP="00611C13">
      <w:pPr>
        <w:pStyle w:val="Caption"/>
        <w:jc w:val="both"/>
      </w:pPr>
      <w:bookmarkStart w:id="23" w:name="_Ref534988955"/>
      <w:r>
        <w:t xml:space="preserve">Observation </w:t>
      </w:r>
      <w:r w:rsidR="002A7487">
        <w:fldChar w:fldCharType="begin"/>
      </w:r>
      <w:r w:rsidR="002A7487">
        <w:instrText xml:space="preserve"> SEQ Observation \* ARABIC </w:instrText>
      </w:r>
      <w:r w:rsidR="002A7487">
        <w:fldChar w:fldCharType="separate"/>
      </w:r>
      <w:r w:rsidR="00362242">
        <w:rPr>
          <w:noProof/>
        </w:rPr>
        <w:t>6</w:t>
      </w:r>
      <w:r w:rsidR="002A7487">
        <w:rPr>
          <w:noProof/>
        </w:rPr>
        <w:fldChar w:fldCharType="end"/>
      </w:r>
      <w:r>
        <w:t>: In NR-U, there are more than one possible position for a SS/PBCH block within a DMTC window.</w:t>
      </w:r>
      <w:bookmarkEnd w:id="23"/>
      <w:r>
        <w:t xml:space="preserve"> </w:t>
      </w:r>
    </w:p>
    <w:p w:rsidR="00611C13" w:rsidRPr="00176EA5" w:rsidRDefault="00611C13" w:rsidP="00176EA5">
      <w:pPr>
        <w:pStyle w:val="Caption"/>
        <w:jc w:val="both"/>
      </w:pPr>
      <w:bookmarkStart w:id="24" w:name="_Ref534989056"/>
      <w:r>
        <w:t xml:space="preserve">Proposal </w:t>
      </w:r>
      <w:r w:rsidR="002A7487">
        <w:fldChar w:fldCharType="begin"/>
      </w:r>
      <w:r w:rsidR="002A7487">
        <w:instrText xml:space="preserve"> SEQ Proposal \* ARABIC </w:instrText>
      </w:r>
      <w:r w:rsidR="002A7487">
        <w:fldChar w:fldCharType="separate"/>
      </w:r>
      <w:r w:rsidR="00362242">
        <w:rPr>
          <w:noProof/>
        </w:rPr>
        <w:t>14</w:t>
      </w:r>
      <w:r w:rsidR="002A7487">
        <w:rPr>
          <w:noProof/>
        </w:rPr>
        <w:fldChar w:fldCharType="end"/>
      </w:r>
      <w:r>
        <w:t>: In NR-U, the validation of a RACH occasion should depend on the positions of the configured DMTC window.</w:t>
      </w:r>
      <w:bookmarkEnd w:id="24"/>
    </w:p>
    <w:p w:rsidR="00611C13" w:rsidRDefault="00611C13" w:rsidP="00611C13">
      <w:pPr>
        <w:pStyle w:val="Heading2"/>
        <w:rPr>
          <w:lang w:eastAsia="ko-KR"/>
        </w:rPr>
      </w:pPr>
      <w:r>
        <w:rPr>
          <w:lang w:eastAsia="ko-KR"/>
        </w:rPr>
        <w:t>Handling systematic LBT failures in RACH</w:t>
      </w:r>
    </w:p>
    <w:tbl>
      <w:tblPr>
        <w:tblStyle w:val="TableGrid"/>
        <w:tblW w:w="0" w:type="auto"/>
        <w:tblLook w:val="04A0" w:firstRow="1" w:lastRow="0" w:firstColumn="1" w:lastColumn="0" w:noHBand="0" w:noVBand="1"/>
      </w:tblPr>
      <w:tblGrid>
        <w:gridCol w:w="9631"/>
      </w:tblGrid>
      <w:tr w:rsidR="00611C13" w:rsidTr="00EC56B7">
        <w:tc>
          <w:tcPr>
            <w:tcW w:w="9631" w:type="dxa"/>
          </w:tcPr>
          <w:p w:rsidR="00611C13" w:rsidRPr="00A80DA1" w:rsidRDefault="00611C13" w:rsidP="00EC56B7">
            <w:pPr>
              <w:rPr>
                <w:rFonts w:ascii="Times New Roman" w:hAnsi="Times New Roman"/>
                <w:lang w:eastAsia="x-none"/>
              </w:rPr>
            </w:pPr>
            <w:r w:rsidRPr="00A80DA1">
              <w:rPr>
                <w:rFonts w:ascii="Times New Roman" w:hAnsi="Times New Roman"/>
                <w:highlight w:val="green"/>
                <w:lang w:eastAsia="x-none"/>
              </w:rPr>
              <w:t>Agreement:</w:t>
            </w:r>
            <w:r w:rsidRPr="00A80DA1">
              <w:rPr>
                <w:rFonts w:ascii="Times New Roman" w:hAnsi="Times New Roman"/>
                <w:lang w:eastAsia="x-none"/>
              </w:rPr>
              <w:t xml:space="preserve"> </w:t>
            </w:r>
            <w:r>
              <w:rPr>
                <w:rFonts w:ascii="Times New Roman" w:hAnsi="Times New Roman"/>
                <w:lang w:eastAsia="x-none"/>
              </w:rPr>
              <w:t>(RAN1 #94)</w:t>
            </w:r>
          </w:p>
          <w:p w:rsidR="00611C13" w:rsidRPr="00A80DA1" w:rsidRDefault="00611C13" w:rsidP="00EC56B7">
            <w:pPr>
              <w:rPr>
                <w:rFonts w:ascii="Times New Roman" w:hAnsi="Times New Roman"/>
                <w:lang w:eastAsia="x-none"/>
              </w:rPr>
            </w:pPr>
            <w:r w:rsidRPr="00A80DA1">
              <w:rPr>
                <w:rFonts w:ascii="Times New Roman" w:hAnsi="Times New Roman"/>
                <w:lang w:eastAsia="x-none"/>
              </w:rPr>
              <w:t>If preamble transmissions are dropped due to LBT failure, then</w:t>
            </w:r>
          </w:p>
          <w:p w:rsidR="00611C13" w:rsidRPr="00BE7FC1" w:rsidRDefault="00611C13" w:rsidP="00611C13">
            <w:pPr>
              <w:numPr>
                <w:ilvl w:val="0"/>
                <w:numId w:val="35"/>
              </w:numPr>
              <w:overflowPunct/>
              <w:autoSpaceDE/>
              <w:autoSpaceDN/>
              <w:adjustRightInd/>
              <w:spacing w:after="0"/>
              <w:textAlignment w:val="auto"/>
              <w:rPr>
                <w:rFonts w:ascii="Times New Roman" w:hAnsi="Times New Roman"/>
                <w:lang w:eastAsia="x-none"/>
              </w:rPr>
            </w:pPr>
            <w:r w:rsidRPr="00A80DA1">
              <w:rPr>
                <w:rFonts w:ascii="Times New Roman" w:hAnsi="Times New Roman"/>
                <w:lang w:eastAsia="x-none"/>
              </w:rPr>
              <w:t>From a RAN1 perspective, it is recommended that preamble power ramping is not performed and that the preamble transmission counter is not incremented</w:t>
            </w:r>
          </w:p>
        </w:tc>
      </w:tr>
    </w:tbl>
    <w:p w:rsidR="00611C13" w:rsidRDefault="00611C13" w:rsidP="00611C13"/>
    <w:p w:rsidR="00611C13" w:rsidRDefault="00611C13" w:rsidP="00611C13">
      <w:pPr>
        <w:jc w:val="both"/>
      </w:pPr>
      <w:r>
        <w:t xml:space="preserve">In NR licensed, the </w:t>
      </w:r>
      <w:r w:rsidRPr="006B3635">
        <w:t>PREAMBLE_TRANSMISSION_COUNTER</w:t>
      </w:r>
      <w:r>
        <w:t xml:space="preserve"> is set to 1 at RA procedure initialization. It is incremented:</w:t>
      </w:r>
    </w:p>
    <w:p w:rsidR="00611C13" w:rsidRPr="002F1DCF" w:rsidRDefault="00611C13" w:rsidP="00611C13">
      <w:pPr>
        <w:pStyle w:val="ListParagraph"/>
        <w:numPr>
          <w:ilvl w:val="0"/>
          <w:numId w:val="37"/>
        </w:numPr>
        <w:overflowPunct w:val="0"/>
        <w:autoSpaceDE w:val="0"/>
        <w:autoSpaceDN w:val="0"/>
        <w:adjustRightInd w:val="0"/>
        <w:spacing w:after="180"/>
        <w:ind w:firstLineChars="0"/>
        <w:contextualSpacing/>
        <w:jc w:val="both"/>
        <w:textAlignment w:val="baseline"/>
        <w:rPr>
          <w:sz w:val="20"/>
          <w:szCs w:val="20"/>
        </w:rPr>
      </w:pPr>
      <w:r w:rsidRPr="002F1DCF">
        <w:rPr>
          <w:sz w:val="20"/>
          <w:szCs w:val="20"/>
        </w:rPr>
        <w:t xml:space="preserve">After the UE transmits the RA preamble, when the </w:t>
      </w:r>
      <w:proofErr w:type="spellStart"/>
      <w:r w:rsidRPr="002F1DCF">
        <w:rPr>
          <w:sz w:val="20"/>
          <w:szCs w:val="20"/>
        </w:rPr>
        <w:t>ra-ResponseWindow</w:t>
      </w:r>
      <w:proofErr w:type="spellEnd"/>
      <w:r w:rsidRPr="002F1DCF">
        <w:rPr>
          <w:sz w:val="20"/>
          <w:szCs w:val="20"/>
        </w:rPr>
        <w:t xml:space="preserve"> expires and no valid response has been received by the UE, or</w:t>
      </w:r>
    </w:p>
    <w:p w:rsidR="00611C13" w:rsidRPr="002F1DCF" w:rsidRDefault="00611C13" w:rsidP="00611C13">
      <w:pPr>
        <w:pStyle w:val="ListParagraph"/>
        <w:numPr>
          <w:ilvl w:val="0"/>
          <w:numId w:val="37"/>
        </w:numPr>
        <w:overflowPunct w:val="0"/>
        <w:autoSpaceDE w:val="0"/>
        <w:autoSpaceDN w:val="0"/>
        <w:adjustRightInd w:val="0"/>
        <w:spacing w:after="180"/>
        <w:ind w:firstLineChars="0"/>
        <w:contextualSpacing/>
        <w:jc w:val="both"/>
        <w:textAlignment w:val="baseline"/>
        <w:rPr>
          <w:sz w:val="20"/>
          <w:szCs w:val="20"/>
        </w:rPr>
      </w:pPr>
      <w:r w:rsidRPr="002F1DCF">
        <w:rPr>
          <w:sz w:val="20"/>
          <w:szCs w:val="20"/>
        </w:rPr>
        <w:t xml:space="preserve">After the UE transmits Msg3, when the UE receives Msg4 and the contention resolution is not successful or the </w:t>
      </w:r>
      <w:proofErr w:type="spellStart"/>
      <w:r w:rsidRPr="002F1DCF">
        <w:rPr>
          <w:sz w:val="20"/>
          <w:szCs w:val="20"/>
        </w:rPr>
        <w:t>ra-ContentionResolutionTimer</w:t>
      </w:r>
      <w:proofErr w:type="spellEnd"/>
      <w:r w:rsidRPr="002F1DCF">
        <w:rPr>
          <w:sz w:val="20"/>
          <w:szCs w:val="20"/>
        </w:rPr>
        <w:t xml:space="preserve"> expires.</w:t>
      </w:r>
    </w:p>
    <w:p w:rsidR="00611C13" w:rsidRDefault="00611C13" w:rsidP="00611C13">
      <w:pPr>
        <w:jc w:val="both"/>
      </w:pPr>
      <w:r>
        <w:t xml:space="preserve">We note that both </w:t>
      </w:r>
      <w:proofErr w:type="spellStart"/>
      <w:r w:rsidRPr="001C45FD">
        <w:t>ra-ResponseWindow</w:t>
      </w:r>
      <w:proofErr w:type="spellEnd"/>
      <w:r>
        <w:t xml:space="preserve"> and </w:t>
      </w:r>
      <w:proofErr w:type="spellStart"/>
      <w:r w:rsidRPr="000D3AF4">
        <w:t>ra-ContentionResolutionTimer</w:t>
      </w:r>
      <w:proofErr w:type="spellEnd"/>
      <w:r>
        <w:t xml:space="preserve"> are started after the UE has transmitted a message to the network and is waiting for a response.</w:t>
      </w:r>
    </w:p>
    <w:p w:rsidR="00611C13" w:rsidRDefault="00611C13" w:rsidP="00611C13">
      <w:pPr>
        <w:jc w:val="both"/>
      </w:pPr>
      <w:r>
        <w:t xml:space="preserve">After being incremented, if </w:t>
      </w:r>
      <w:r w:rsidRPr="006B3635">
        <w:t>PREAMBLE_TRANSMISSION_COUNTER</w:t>
      </w:r>
      <w:r>
        <w:t xml:space="preserve"> does not exceed the maximum value </w:t>
      </w:r>
      <w:proofErr w:type="spellStart"/>
      <w:r w:rsidRPr="007F568E">
        <w:t>preambleTransMax</w:t>
      </w:r>
      <w:proofErr w:type="spellEnd"/>
      <w:r>
        <w:t xml:space="preserve">, the UE transmits another RA preamble and might apply power ramping depending on the RRC configuration. Otherwise, if the </w:t>
      </w:r>
      <w:r w:rsidRPr="006B3635">
        <w:t>PREAMBLE_TRANSMISSION_COUNTER</w:t>
      </w:r>
      <w:r>
        <w:t xml:space="preserve"> exceeds </w:t>
      </w:r>
      <w:proofErr w:type="spellStart"/>
      <w:r w:rsidRPr="007F568E">
        <w:t>preambleTransMax</w:t>
      </w:r>
      <w:proofErr w:type="spellEnd"/>
      <w:r>
        <w:t xml:space="preserve">, a RA problem is indicated to the upper layers if the RA procedure was initiated on the </w:t>
      </w:r>
      <w:proofErr w:type="spellStart"/>
      <w:r>
        <w:t>SpCell</w:t>
      </w:r>
      <w:proofErr w:type="spellEnd"/>
      <w:r>
        <w:t xml:space="preserve"> and the RA procedure can be considered unsuccessfully completed for RA triggered for SI request or for RA on </w:t>
      </w:r>
      <w:proofErr w:type="spellStart"/>
      <w:r>
        <w:t>SCells</w:t>
      </w:r>
      <w:proofErr w:type="spellEnd"/>
      <w:r>
        <w:t>.</w:t>
      </w:r>
    </w:p>
    <w:p w:rsidR="00611C13" w:rsidRDefault="00611C13" w:rsidP="00611C13">
      <w:pPr>
        <w:jc w:val="both"/>
      </w:pPr>
      <w:r w:rsidRPr="0009763D">
        <w:t xml:space="preserve">If the PREAMBLE_TRANSMISSION_COUNTER is </w:t>
      </w:r>
      <w:r>
        <w:t>incremented and the power ramping counter is not incremented for each LBT failure</w:t>
      </w:r>
      <w:r w:rsidRPr="0009763D">
        <w:t>, the preamble power may not reach its maximum value in the presence of LBT failures.</w:t>
      </w:r>
    </w:p>
    <w:p w:rsidR="00611C13" w:rsidRDefault="00611C13" w:rsidP="00611C13">
      <w:pPr>
        <w:jc w:val="both"/>
      </w:pPr>
      <w:r>
        <w:t>We therefore think that LBT failures should be evaluated separately.</w:t>
      </w:r>
    </w:p>
    <w:p w:rsidR="00611C13" w:rsidRDefault="00611C13" w:rsidP="00611C13">
      <w:pPr>
        <w:jc w:val="both"/>
      </w:pPr>
      <w:r>
        <w:t>To detect excessive LBT failures, one of the following mechanisms could be considered:</w:t>
      </w:r>
    </w:p>
    <w:p w:rsidR="00611C13" w:rsidRPr="003823E4" w:rsidRDefault="00611C13" w:rsidP="00611C13">
      <w:pPr>
        <w:pStyle w:val="ListParagraph"/>
        <w:numPr>
          <w:ilvl w:val="0"/>
          <w:numId w:val="37"/>
        </w:numPr>
        <w:overflowPunct w:val="0"/>
        <w:autoSpaceDE w:val="0"/>
        <w:autoSpaceDN w:val="0"/>
        <w:adjustRightInd w:val="0"/>
        <w:spacing w:after="180"/>
        <w:ind w:firstLineChars="0"/>
        <w:contextualSpacing/>
        <w:jc w:val="both"/>
        <w:textAlignment w:val="baseline"/>
        <w:rPr>
          <w:sz w:val="20"/>
          <w:szCs w:val="20"/>
        </w:rPr>
      </w:pPr>
      <w:r w:rsidRPr="003823E4">
        <w:rPr>
          <w:sz w:val="20"/>
          <w:szCs w:val="20"/>
        </w:rPr>
        <w:t>A counter is incremented for each LBT failure, and the occurrence of excessive LBT failures is detected by the UE when the counter reaches its maximum value within a time window, or</w:t>
      </w:r>
    </w:p>
    <w:p w:rsidR="00611C13" w:rsidRPr="003823E4" w:rsidRDefault="00611C13" w:rsidP="00611C13">
      <w:pPr>
        <w:pStyle w:val="ListParagraph"/>
        <w:numPr>
          <w:ilvl w:val="0"/>
          <w:numId w:val="37"/>
        </w:numPr>
        <w:overflowPunct w:val="0"/>
        <w:autoSpaceDE w:val="0"/>
        <w:autoSpaceDN w:val="0"/>
        <w:adjustRightInd w:val="0"/>
        <w:spacing w:after="180"/>
        <w:ind w:firstLineChars="0"/>
        <w:contextualSpacing/>
        <w:jc w:val="both"/>
        <w:textAlignment w:val="baseline"/>
        <w:rPr>
          <w:sz w:val="20"/>
          <w:szCs w:val="20"/>
        </w:rPr>
      </w:pPr>
      <w:r w:rsidRPr="003823E4">
        <w:rPr>
          <w:sz w:val="20"/>
          <w:szCs w:val="20"/>
        </w:rPr>
        <w:t>A timer is started when the MAC layer instructs the physical layer to transmit the message for the first time, it is stopped when the transmission is successful, and the occurrence of excessive LBT failures is detected by the UE when the timer expires</w:t>
      </w:r>
    </w:p>
    <w:p w:rsidR="00611C13" w:rsidRDefault="00611C13" w:rsidP="00611C13">
      <w:pPr>
        <w:jc w:val="both"/>
      </w:pPr>
      <w:r>
        <w:t xml:space="preserve">When the UE detects the occurrence of excessive LBT failures, the MAC layer could take the same actions as when the </w:t>
      </w:r>
      <w:r w:rsidRPr="006B3635">
        <w:t>PREAMBLE_TRANSMISSION_COUNTER</w:t>
      </w:r>
      <w:r>
        <w:t xml:space="preserve"> reaches its maximum value, i.e. a RA problem is indicated to the upper layers if the RA procedure was initiated on the </w:t>
      </w:r>
      <w:proofErr w:type="spellStart"/>
      <w:r>
        <w:t>SpCell</w:t>
      </w:r>
      <w:proofErr w:type="spellEnd"/>
      <w:r>
        <w:t xml:space="preserve"> and the RA procedure can be considered unsuccessfully completed for RA triggered for SI request or for RA on </w:t>
      </w:r>
      <w:proofErr w:type="spellStart"/>
      <w:r>
        <w:t>SCells</w:t>
      </w:r>
      <w:proofErr w:type="spellEnd"/>
      <w:r>
        <w:t>.</w:t>
      </w:r>
    </w:p>
    <w:p w:rsidR="00611C13" w:rsidRDefault="00611C13" w:rsidP="00611C13">
      <w:pPr>
        <w:pStyle w:val="Caption"/>
        <w:jc w:val="both"/>
      </w:pPr>
      <w:bookmarkStart w:id="25" w:name="_Ref534989062"/>
      <w:r>
        <w:lastRenderedPageBreak/>
        <w:t xml:space="preserve">Proposal </w:t>
      </w:r>
      <w:r w:rsidR="002A7487">
        <w:fldChar w:fldCharType="begin"/>
      </w:r>
      <w:r w:rsidR="002A7487">
        <w:instrText xml:space="preserve"> SEQ Proposal \* ARABIC </w:instrText>
      </w:r>
      <w:r w:rsidR="002A7487">
        <w:fldChar w:fldCharType="separate"/>
      </w:r>
      <w:r w:rsidR="00362242">
        <w:rPr>
          <w:noProof/>
        </w:rPr>
        <w:t>15</w:t>
      </w:r>
      <w:r w:rsidR="002A7487">
        <w:rPr>
          <w:noProof/>
        </w:rPr>
        <w:fldChar w:fldCharType="end"/>
      </w:r>
      <w:r w:rsidRPr="00120DD7">
        <w:t xml:space="preserve">: The UE detects excessive LBT failures for RA preamble transmissions by using a timer or a counter mechanism. Upon detection, the UE takes </w:t>
      </w:r>
      <w:r>
        <w:t xml:space="preserve">the same actions as when the </w:t>
      </w:r>
      <w:r w:rsidRPr="00120DD7">
        <w:t>PREAMBLE_TRANSMISSION_COUNTER exceeds its maximum value.</w:t>
      </w:r>
      <w:bookmarkEnd w:id="25"/>
    </w:p>
    <w:p w:rsidR="00611C13" w:rsidRDefault="00611C13" w:rsidP="00611C13">
      <w:pPr>
        <w:jc w:val="both"/>
      </w:pPr>
      <w:r>
        <w:t xml:space="preserve">The LBT could also fail for msg3 transmissions. In this case, it is not possible to re-attempt the msg3 transmission at another opportunity because the UE transmits msg3 on the UL grant indicated in RAR. This case could be treated similar to the </w:t>
      </w:r>
      <w:proofErr w:type="spellStart"/>
      <w:r w:rsidRPr="004841FD">
        <w:t>ra-ContentionResolutionTimer</w:t>
      </w:r>
      <w:proofErr w:type="spellEnd"/>
      <w:r>
        <w:t xml:space="preserve"> expiry: Discard the TC-RNTI, consider contention resolution not successful, flush the HARQ buffer for msg3, indicate a RA problem to upper layers, and potentially re-attempt the RA procedure.</w:t>
      </w:r>
    </w:p>
    <w:p w:rsidR="00611C13" w:rsidRDefault="00611C13" w:rsidP="00611C13">
      <w:pPr>
        <w:pStyle w:val="Caption"/>
        <w:jc w:val="both"/>
      </w:pPr>
      <w:bookmarkStart w:id="26" w:name="_Ref534989067"/>
      <w:r>
        <w:t xml:space="preserve">Proposal </w:t>
      </w:r>
      <w:r w:rsidR="002A7487">
        <w:fldChar w:fldCharType="begin"/>
      </w:r>
      <w:r w:rsidR="002A7487">
        <w:instrText xml:space="preserve"> SEQ Proposal \* ARABIC </w:instrText>
      </w:r>
      <w:r w:rsidR="002A7487">
        <w:fldChar w:fldCharType="separate"/>
      </w:r>
      <w:r w:rsidR="00362242">
        <w:rPr>
          <w:noProof/>
        </w:rPr>
        <w:t>16</w:t>
      </w:r>
      <w:r w:rsidR="002A7487">
        <w:rPr>
          <w:noProof/>
        </w:rPr>
        <w:fldChar w:fldCharType="end"/>
      </w:r>
      <w:r>
        <w:t>: The UE detects excessive LBT failures for msg3 transmissions by using a timer or a counter mechanism. If LBT fails for m</w:t>
      </w:r>
      <w:r w:rsidRPr="004841FD">
        <w:t xml:space="preserve">sg3, the </w:t>
      </w:r>
      <w:r>
        <w:t xml:space="preserve">UE takes the </w:t>
      </w:r>
      <w:r w:rsidRPr="004841FD">
        <w:t xml:space="preserve">same actions as the </w:t>
      </w:r>
      <w:proofErr w:type="spellStart"/>
      <w:r w:rsidRPr="004841FD">
        <w:t>ra-ContentionResolutionTimer</w:t>
      </w:r>
      <w:proofErr w:type="spellEnd"/>
      <w:r w:rsidRPr="004841FD">
        <w:t xml:space="preserve"> expiry</w:t>
      </w:r>
      <w:r>
        <w:t>.</w:t>
      </w:r>
      <w:bookmarkEnd w:id="26"/>
    </w:p>
    <w:p w:rsidR="004A776C" w:rsidRPr="00F92BD7" w:rsidRDefault="004A776C" w:rsidP="00F92BD7"/>
    <w:p w:rsidR="00E02D74" w:rsidRPr="00873253" w:rsidRDefault="00DD1EC8" w:rsidP="00526F4E">
      <w:pPr>
        <w:pStyle w:val="Heading1"/>
        <w:jc w:val="both"/>
        <w:rPr>
          <w:lang w:eastAsia="zh-CN"/>
        </w:rPr>
      </w:pPr>
      <w:r>
        <w:rPr>
          <w:lang w:eastAsia="zh-CN"/>
        </w:rPr>
        <w:t>Enhancements to RLM/RRM Measurements</w:t>
      </w:r>
    </w:p>
    <w:tbl>
      <w:tblPr>
        <w:tblStyle w:val="TableGrid"/>
        <w:tblW w:w="0" w:type="auto"/>
        <w:tblLook w:val="04A0" w:firstRow="1" w:lastRow="0" w:firstColumn="1" w:lastColumn="0" w:noHBand="0" w:noVBand="1"/>
      </w:tblPr>
      <w:tblGrid>
        <w:gridCol w:w="9631"/>
      </w:tblGrid>
      <w:tr w:rsidR="00633A4F" w:rsidRPr="00873253" w:rsidTr="00633A4F">
        <w:tc>
          <w:tcPr>
            <w:tcW w:w="9631" w:type="dxa"/>
          </w:tcPr>
          <w:p w:rsidR="00633A4F" w:rsidRPr="00873253" w:rsidRDefault="00633A4F" w:rsidP="00633A4F">
            <w:pPr>
              <w:rPr>
                <w:rFonts w:ascii="Times New Roman" w:hAnsi="Times New Roman"/>
                <w:lang w:eastAsia="x-none"/>
              </w:rPr>
            </w:pPr>
            <w:r w:rsidRPr="00873253">
              <w:rPr>
                <w:rFonts w:ascii="Times New Roman" w:hAnsi="Times New Roman"/>
                <w:highlight w:val="green"/>
                <w:lang w:eastAsia="x-none"/>
              </w:rPr>
              <w:t>Agreement:</w:t>
            </w:r>
          </w:p>
          <w:p w:rsidR="00633A4F" w:rsidRPr="00873253" w:rsidRDefault="00633A4F" w:rsidP="000C565C">
            <w:pPr>
              <w:numPr>
                <w:ilvl w:val="0"/>
                <w:numId w:val="21"/>
              </w:numPr>
              <w:overflowPunct/>
              <w:autoSpaceDE/>
              <w:autoSpaceDN/>
              <w:adjustRightInd/>
              <w:spacing w:after="0"/>
              <w:textAlignment w:val="auto"/>
              <w:rPr>
                <w:rFonts w:ascii="Times New Roman" w:hAnsi="Times New Roman"/>
                <w:lang w:eastAsia="x-none"/>
              </w:rPr>
            </w:pPr>
            <w:r w:rsidRPr="00873253">
              <w:rPr>
                <w:rFonts w:ascii="Times New Roman" w:hAnsi="Times New Roman"/>
                <w:lang w:eastAsia="x-none"/>
              </w:rPr>
              <w:t>At least the functionalities of Rel-13 LTE-LAA RSSI and channel occupancy reporting as a baseline should be supported</w:t>
            </w:r>
          </w:p>
          <w:p w:rsidR="00633A4F" w:rsidRPr="00873253" w:rsidRDefault="00633A4F" w:rsidP="000C565C">
            <w:pPr>
              <w:numPr>
                <w:ilvl w:val="0"/>
                <w:numId w:val="21"/>
              </w:numPr>
              <w:overflowPunct/>
              <w:autoSpaceDE/>
              <w:autoSpaceDN/>
              <w:adjustRightInd/>
              <w:spacing w:after="0"/>
              <w:textAlignment w:val="auto"/>
              <w:rPr>
                <w:rFonts w:ascii="Times New Roman" w:hAnsi="Times New Roman"/>
                <w:lang w:eastAsia="x-none"/>
              </w:rPr>
            </w:pPr>
            <w:r w:rsidRPr="00873253">
              <w:rPr>
                <w:rFonts w:ascii="Times New Roman" w:hAnsi="Times New Roman"/>
                <w:lang w:eastAsia="x-none"/>
              </w:rPr>
              <w:t xml:space="preserve">FFS: </w:t>
            </w:r>
          </w:p>
          <w:p w:rsidR="00633A4F" w:rsidRPr="00873253" w:rsidRDefault="00633A4F" w:rsidP="000C565C">
            <w:pPr>
              <w:numPr>
                <w:ilvl w:val="1"/>
                <w:numId w:val="21"/>
              </w:numPr>
              <w:overflowPunct/>
              <w:autoSpaceDE/>
              <w:autoSpaceDN/>
              <w:adjustRightInd/>
              <w:spacing w:after="0"/>
              <w:textAlignment w:val="auto"/>
              <w:rPr>
                <w:rFonts w:ascii="Times New Roman" w:hAnsi="Times New Roman"/>
                <w:lang w:eastAsia="x-none"/>
              </w:rPr>
            </w:pPr>
            <w:r w:rsidRPr="00873253">
              <w:rPr>
                <w:rFonts w:ascii="Times New Roman" w:hAnsi="Times New Roman"/>
                <w:lang w:eastAsia="x-none"/>
              </w:rPr>
              <w:t>Enhanced RSSI metrics, for e.g., sub-band-level interference measurements in a wideband operation scenario</w:t>
            </w:r>
          </w:p>
          <w:p w:rsidR="00633A4F" w:rsidRPr="00873253" w:rsidRDefault="00633A4F" w:rsidP="000C565C">
            <w:pPr>
              <w:numPr>
                <w:ilvl w:val="1"/>
                <w:numId w:val="21"/>
              </w:numPr>
              <w:overflowPunct/>
              <w:autoSpaceDE/>
              <w:autoSpaceDN/>
              <w:adjustRightInd/>
              <w:spacing w:after="0"/>
              <w:textAlignment w:val="auto"/>
              <w:rPr>
                <w:rFonts w:ascii="Times New Roman" w:hAnsi="Times New Roman"/>
                <w:lang w:eastAsia="x-none"/>
              </w:rPr>
            </w:pPr>
            <w:r w:rsidRPr="00873253">
              <w:rPr>
                <w:rFonts w:ascii="Times New Roman" w:hAnsi="Times New Roman"/>
                <w:lang w:eastAsia="x-none"/>
              </w:rPr>
              <w:t>Reporting of a new medium contention/load metric other than channel occupancy</w:t>
            </w:r>
          </w:p>
          <w:p w:rsidR="00633A4F" w:rsidRPr="00873253" w:rsidRDefault="00633A4F" w:rsidP="000C565C">
            <w:pPr>
              <w:numPr>
                <w:ilvl w:val="1"/>
                <w:numId w:val="21"/>
              </w:numPr>
              <w:overflowPunct/>
              <w:autoSpaceDE/>
              <w:autoSpaceDN/>
              <w:adjustRightInd/>
              <w:spacing w:after="0"/>
              <w:textAlignment w:val="auto"/>
              <w:rPr>
                <w:rFonts w:ascii="Times New Roman" w:hAnsi="Times New Roman"/>
                <w:lang w:eastAsia="x-none"/>
              </w:rPr>
            </w:pPr>
            <w:r w:rsidRPr="00873253">
              <w:rPr>
                <w:rFonts w:ascii="Times New Roman" w:hAnsi="Times New Roman"/>
                <w:lang w:eastAsia="x-none"/>
              </w:rPr>
              <w:t>Any modification of the parameters of the Rel-15 SMTC for operation in unlicensed spectrum</w:t>
            </w:r>
          </w:p>
        </w:tc>
      </w:tr>
    </w:tbl>
    <w:p w:rsidR="00633A4F" w:rsidRDefault="00633A4F" w:rsidP="00526F4E">
      <w:pPr>
        <w:jc w:val="both"/>
        <w:rPr>
          <w:lang w:val="en-GB" w:eastAsia="zh-CN"/>
        </w:rPr>
      </w:pPr>
    </w:p>
    <w:tbl>
      <w:tblPr>
        <w:tblStyle w:val="TableGrid"/>
        <w:tblW w:w="0" w:type="auto"/>
        <w:tblLook w:val="04A0" w:firstRow="1" w:lastRow="0" w:firstColumn="1" w:lastColumn="0" w:noHBand="0" w:noVBand="1"/>
      </w:tblPr>
      <w:tblGrid>
        <w:gridCol w:w="9631"/>
      </w:tblGrid>
      <w:tr w:rsidR="00DA5800" w:rsidRPr="00873253" w:rsidTr="00DA5800">
        <w:tc>
          <w:tcPr>
            <w:tcW w:w="9631" w:type="dxa"/>
          </w:tcPr>
          <w:p w:rsidR="00DA5800" w:rsidRPr="00873253" w:rsidRDefault="00DA5800" w:rsidP="00DA5800">
            <w:pPr>
              <w:rPr>
                <w:rFonts w:ascii="Times New Roman" w:hAnsi="Times New Roman"/>
                <w:lang w:eastAsia="x-none"/>
              </w:rPr>
            </w:pPr>
            <w:r w:rsidRPr="00873253">
              <w:rPr>
                <w:rFonts w:ascii="Times New Roman" w:hAnsi="Times New Roman"/>
                <w:highlight w:val="green"/>
                <w:lang w:eastAsia="x-none"/>
              </w:rPr>
              <w:t>Agreement:</w:t>
            </w:r>
          </w:p>
          <w:p w:rsidR="00DA5800" w:rsidRPr="00873253" w:rsidRDefault="00DA5800" w:rsidP="000C565C">
            <w:pPr>
              <w:numPr>
                <w:ilvl w:val="0"/>
                <w:numId w:val="23"/>
              </w:numPr>
              <w:overflowPunct/>
              <w:autoSpaceDE/>
              <w:autoSpaceDN/>
              <w:adjustRightInd/>
              <w:spacing w:after="0"/>
              <w:textAlignment w:val="auto"/>
              <w:rPr>
                <w:rFonts w:ascii="Times New Roman" w:hAnsi="Times New Roman"/>
                <w:lang w:eastAsia="x-none"/>
              </w:rPr>
            </w:pPr>
            <w:r w:rsidRPr="00873253">
              <w:rPr>
                <w:rFonts w:ascii="Times New Roman" w:hAnsi="Times New Roman"/>
                <w:lang w:eastAsia="x-none"/>
              </w:rPr>
              <w:t>An RLM measurement window for serving cell RLM measurements based on SSBs in the DRS is supported for in-sync and out-of-sync evaluations.</w:t>
            </w:r>
          </w:p>
          <w:p w:rsidR="00DA5800" w:rsidRPr="00873253" w:rsidRDefault="00DA5800" w:rsidP="000C565C">
            <w:pPr>
              <w:numPr>
                <w:ilvl w:val="1"/>
                <w:numId w:val="23"/>
              </w:numPr>
              <w:overflowPunct/>
              <w:autoSpaceDE/>
              <w:autoSpaceDN/>
              <w:adjustRightInd/>
              <w:spacing w:after="0"/>
              <w:textAlignment w:val="auto"/>
              <w:rPr>
                <w:rFonts w:ascii="Times New Roman" w:hAnsi="Times New Roman"/>
                <w:lang w:eastAsia="x-none"/>
              </w:rPr>
            </w:pPr>
            <w:r w:rsidRPr="00873253">
              <w:rPr>
                <w:rFonts w:ascii="Times New Roman" w:hAnsi="Times New Roman"/>
                <w:lang w:eastAsia="x-none"/>
              </w:rPr>
              <w:t>FFS: How RLM measurement window is indicated or determined and relation to DRS transmission window</w:t>
            </w:r>
          </w:p>
          <w:p w:rsidR="00DA5800" w:rsidRPr="00873253" w:rsidRDefault="00DA5800" w:rsidP="000C565C">
            <w:pPr>
              <w:numPr>
                <w:ilvl w:val="1"/>
                <w:numId w:val="23"/>
              </w:numPr>
              <w:overflowPunct/>
              <w:autoSpaceDE/>
              <w:autoSpaceDN/>
              <w:adjustRightInd/>
              <w:spacing w:after="0"/>
              <w:textAlignment w:val="auto"/>
              <w:rPr>
                <w:rFonts w:ascii="Times New Roman" w:hAnsi="Times New Roman"/>
                <w:lang w:eastAsia="x-none"/>
              </w:rPr>
            </w:pPr>
            <w:r w:rsidRPr="00873253">
              <w:rPr>
                <w:rFonts w:ascii="Times New Roman" w:hAnsi="Times New Roman"/>
                <w:lang w:eastAsia="x-none"/>
              </w:rPr>
              <w:t>FFS: Whether or not an SSB can fall outside the measurement window and, if so, whether it can be used for in-sync and out-of-sync evaluations.</w:t>
            </w:r>
          </w:p>
          <w:p w:rsidR="00DA5800" w:rsidRPr="00873253" w:rsidRDefault="00DA5800" w:rsidP="000C565C">
            <w:pPr>
              <w:numPr>
                <w:ilvl w:val="1"/>
                <w:numId w:val="23"/>
              </w:numPr>
              <w:overflowPunct/>
              <w:autoSpaceDE/>
              <w:autoSpaceDN/>
              <w:adjustRightInd/>
              <w:spacing w:after="0"/>
              <w:textAlignment w:val="auto"/>
              <w:rPr>
                <w:rFonts w:ascii="Times New Roman" w:hAnsi="Times New Roman"/>
                <w:lang w:eastAsia="x-none"/>
              </w:rPr>
            </w:pPr>
            <w:r w:rsidRPr="00873253">
              <w:rPr>
                <w:rFonts w:ascii="Times New Roman" w:hAnsi="Times New Roman"/>
                <w:lang w:eastAsia="x-none"/>
              </w:rPr>
              <w:t>FFS: Any relationship of RLM measurements based on CSI-RS to the measurement window.</w:t>
            </w:r>
          </w:p>
          <w:p w:rsidR="00DA5800" w:rsidRPr="00873253" w:rsidRDefault="00DA5800" w:rsidP="000C565C">
            <w:pPr>
              <w:numPr>
                <w:ilvl w:val="0"/>
                <w:numId w:val="23"/>
              </w:numPr>
              <w:overflowPunct/>
              <w:autoSpaceDE/>
              <w:autoSpaceDN/>
              <w:adjustRightInd/>
              <w:spacing w:after="0"/>
              <w:textAlignment w:val="auto"/>
              <w:rPr>
                <w:rFonts w:ascii="Times New Roman" w:hAnsi="Times New Roman"/>
                <w:lang w:eastAsia="x-none"/>
              </w:rPr>
            </w:pPr>
            <w:r w:rsidRPr="00873253">
              <w:rPr>
                <w:rFonts w:ascii="Times New Roman" w:hAnsi="Times New Roman"/>
                <w:lang w:eastAsia="x-none"/>
              </w:rPr>
              <w:t>FFS: Mechanism to handle missing RLM-RS due to LBT failure</w:t>
            </w:r>
          </w:p>
        </w:tc>
      </w:tr>
    </w:tbl>
    <w:p w:rsidR="00DA5800" w:rsidRDefault="00DA5800" w:rsidP="00526F4E">
      <w:pPr>
        <w:jc w:val="both"/>
        <w:rPr>
          <w:lang w:val="en-GB" w:eastAsia="zh-CN"/>
        </w:rPr>
      </w:pPr>
    </w:p>
    <w:tbl>
      <w:tblPr>
        <w:tblStyle w:val="TableGrid"/>
        <w:tblW w:w="0" w:type="auto"/>
        <w:tblLook w:val="04A0" w:firstRow="1" w:lastRow="0" w:firstColumn="1" w:lastColumn="0" w:noHBand="0" w:noVBand="1"/>
      </w:tblPr>
      <w:tblGrid>
        <w:gridCol w:w="9631"/>
      </w:tblGrid>
      <w:tr w:rsidR="00C204DE" w:rsidRPr="00873253" w:rsidTr="00C204DE">
        <w:tc>
          <w:tcPr>
            <w:tcW w:w="9631" w:type="dxa"/>
          </w:tcPr>
          <w:p w:rsidR="00C204DE" w:rsidRPr="00873253" w:rsidRDefault="00C204DE" w:rsidP="00C204DE">
            <w:pPr>
              <w:rPr>
                <w:rFonts w:ascii="Times New Roman" w:hAnsi="Times New Roman"/>
              </w:rPr>
            </w:pPr>
            <w:r w:rsidRPr="00873253">
              <w:rPr>
                <w:rFonts w:ascii="Times New Roman" w:hAnsi="Times New Roman"/>
                <w:highlight w:val="green"/>
              </w:rPr>
              <w:t>Agreement:</w:t>
            </w:r>
          </w:p>
          <w:p w:rsidR="00C204DE" w:rsidRPr="00E70B9E" w:rsidRDefault="00C204DE" w:rsidP="00C204DE">
            <w:pPr>
              <w:snapToGrid w:val="0"/>
              <w:jc w:val="both"/>
              <w:rPr>
                <w:rFonts w:ascii="Times New Roman" w:hAnsi="Times New Roman"/>
              </w:rPr>
            </w:pPr>
            <w:r w:rsidRPr="00E70B9E">
              <w:rPr>
                <w:rFonts w:ascii="Times New Roman" w:hAnsi="Times New Roman"/>
              </w:rPr>
              <w:t>For SSB-based RLM, UE may assume the RLM measurement window to be the same as the DRS transmission window.</w:t>
            </w:r>
          </w:p>
          <w:p w:rsidR="00C204DE" w:rsidRPr="00873253" w:rsidRDefault="00C204DE" w:rsidP="000C565C">
            <w:pPr>
              <w:pStyle w:val="ListParagraph"/>
              <w:numPr>
                <w:ilvl w:val="0"/>
                <w:numId w:val="25"/>
              </w:numPr>
              <w:overflowPunct w:val="0"/>
              <w:autoSpaceDE w:val="0"/>
              <w:autoSpaceDN w:val="0"/>
              <w:adjustRightInd w:val="0"/>
              <w:snapToGrid w:val="0"/>
              <w:spacing w:after="180"/>
              <w:ind w:firstLineChars="0"/>
              <w:contextualSpacing/>
              <w:jc w:val="both"/>
              <w:textAlignment w:val="baseline"/>
              <w:rPr>
                <w:rFonts w:ascii="Times New Roman" w:hAnsi="Times New Roman"/>
                <w:sz w:val="20"/>
                <w:szCs w:val="20"/>
              </w:rPr>
            </w:pPr>
            <w:r w:rsidRPr="00E70B9E">
              <w:rPr>
                <w:rFonts w:ascii="Times New Roman" w:hAnsi="Times New Roman"/>
                <w:sz w:val="20"/>
                <w:szCs w:val="20"/>
              </w:rPr>
              <w:t>Note: This implies that the SSB-based RLM-RS cannot fall outside the measurement window</w:t>
            </w:r>
            <w:r w:rsidRPr="00873253">
              <w:rPr>
                <w:rFonts w:ascii="Times New Roman" w:hAnsi="Times New Roman"/>
                <w:sz w:val="20"/>
                <w:szCs w:val="20"/>
              </w:rPr>
              <w:t xml:space="preserve"> </w:t>
            </w:r>
          </w:p>
          <w:p w:rsidR="00C204DE" w:rsidRPr="00873253" w:rsidRDefault="00C204DE" w:rsidP="000C565C">
            <w:pPr>
              <w:pStyle w:val="ListParagraph"/>
              <w:numPr>
                <w:ilvl w:val="0"/>
                <w:numId w:val="25"/>
              </w:numPr>
              <w:overflowPunct w:val="0"/>
              <w:autoSpaceDE w:val="0"/>
              <w:autoSpaceDN w:val="0"/>
              <w:adjustRightInd w:val="0"/>
              <w:snapToGrid w:val="0"/>
              <w:spacing w:after="180"/>
              <w:ind w:firstLineChars="0"/>
              <w:contextualSpacing/>
              <w:jc w:val="both"/>
              <w:textAlignment w:val="baseline"/>
              <w:rPr>
                <w:rFonts w:ascii="Times New Roman" w:hAnsi="Times New Roman"/>
                <w:sz w:val="20"/>
                <w:szCs w:val="20"/>
              </w:rPr>
            </w:pPr>
            <w:r w:rsidRPr="00873253">
              <w:rPr>
                <w:rFonts w:ascii="Times New Roman" w:hAnsi="Times New Roman"/>
                <w:sz w:val="20"/>
                <w:szCs w:val="20"/>
              </w:rPr>
              <w:t>FFS: Whether and how DRS transmission window is configured to the UE</w:t>
            </w:r>
          </w:p>
        </w:tc>
      </w:tr>
    </w:tbl>
    <w:p w:rsidR="001963A1" w:rsidRPr="00285B20" w:rsidRDefault="001963A1" w:rsidP="00285B20"/>
    <w:p w:rsidR="005C2B53" w:rsidRDefault="007A5D89" w:rsidP="009C14D4">
      <w:r>
        <w:t>The RS supported for RLM/RRM measurements in NR R15 can be SSBs, CSI-RSs, or a mix</w:t>
      </w:r>
      <w:r w:rsidR="006A6BFA">
        <w:t>ture</w:t>
      </w:r>
      <w:r>
        <w:t xml:space="preserve"> of SSBs and CSI-RSs. The configured R</w:t>
      </w:r>
      <w:r w:rsidR="006A6BFA">
        <w:t xml:space="preserve">S is transmitted periodically. Similar to other transmissions, however, transmission of reference signals are subject to LBT and hence the presence cannot be guaranteed. </w:t>
      </w:r>
      <w:r w:rsidR="00023AF9">
        <w:t xml:space="preserve">How to handle missing measurements due to LBT failure becomes a problem in NR-U. </w:t>
      </w:r>
      <w:r w:rsidR="00141FF5">
        <w:t xml:space="preserve">Specifically, </w:t>
      </w:r>
      <w:r w:rsidR="00631EDC">
        <w:t xml:space="preserve">if UE cannot tell missing measurements due to LBT failure from those measurements from bad link quality, it would use all measurements for L1/L3 filtering. Then, the measurements cannot truthfully reflect the channel quality only because they are impacted by missing measurements when the RSs are actually not transmitted by the base station due to LBT failure. </w:t>
      </w:r>
      <w:r w:rsidR="00CB76CC">
        <w:t xml:space="preserve">On the other hand, </w:t>
      </w:r>
      <w:r w:rsidR="00E829CC">
        <w:t xml:space="preserve">the purpose of measurements is for UE to be able to select a serving cell that it has good communication quality. If a carrier is congested very severely, should the UE continue to stay in that carrier even when the link quality is good? </w:t>
      </w:r>
      <w:r w:rsidR="008F5B18">
        <w:t xml:space="preserve">In our opinion, </w:t>
      </w:r>
      <w:r w:rsidR="002815E7">
        <w:t>the functionality</w:t>
      </w:r>
      <w:r w:rsidR="008F5B18">
        <w:t xml:space="preserve"> of RLM/RRM </w:t>
      </w:r>
      <w:r w:rsidR="002815E7">
        <w:t xml:space="preserve">measurements </w:t>
      </w:r>
      <w:r w:rsidR="008F5B18">
        <w:t xml:space="preserve">should be extended in NR-U to reflect not only channel quality but also channel availability. </w:t>
      </w:r>
      <w:r w:rsidR="002815E7">
        <w:t xml:space="preserve">Then an important question would be whether or not it is feasible for UE to distinguish between missing RS due to LBT failure and not detecting RS due to bad link condition. </w:t>
      </w:r>
    </w:p>
    <w:p w:rsidR="00631EDC" w:rsidRDefault="002815E7" w:rsidP="002815E7">
      <w:pPr>
        <w:pStyle w:val="Caption"/>
      </w:pPr>
      <w:bookmarkStart w:id="27" w:name="_Ref16919362"/>
      <w:r>
        <w:t xml:space="preserve">Proposal </w:t>
      </w:r>
      <w:r w:rsidR="002A7487">
        <w:fldChar w:fldCharType="begin"/>
      </w:r>
      <w:r w:rsidR="002A7487">
        <w:instrText xml:space="preserve"> SEQ Proposal \* ARA</w:instrText>
      </w:r>
      <w:r w:rsidR="002A7487">
        <w:instrText xml:space="preserve">BIC </w:instrText>
      </w:r>
      <w:r w:rsidR="002A7487">
        <w:fldChar w:fldCharType="separate"/>
      </w:r>
      <w:r w:rsidR="00362242">
        <w:rPr>
          <w:noProof/>
        </w:rPr>
        <w:t>17</w:t>
      </w:r>
      <w:r w:rsidR="002A7487">
        <w:rPr>
          <w:noProof/>
        </w:rPr>
        <w:fldChar w:fldCharType="end"/>
      </w:r>
      <w:r>
        <w:t xml:space="preserve">: Discuss whether to extend the functionality of RLM/RRM in NR-U to reflect not only link quality but also link availability. </w:t>
      </w:r>
      <w:r w:rsidR="000F44C6">
        <w:t>If yes, how?</w:t>
      </w:r>
      <w:bookmarkEnd w:id="27"/>
      <w:r w:rsidR="000F44C6">
        <w:t xml:space="preserve"> </w:t>
      </w:r>
    </w:p>
    <w:p w:rsidR="002815E7" w:rsidRPr="002815E7" w:rsidRDefault="000F44C6" w:rsidP="000F44C6">
      <w:pPr>
        <w:pStyle w:val="Caption"/>
      </w:pPr>
      <w:bookmarkStart w:id="28" w:name="_Ref16919388"/>
      <w:r>
        <w:lastRenderedPageBreak/>
        <w:t xml:space="preserve">Proposal </w:t>
      </w:r>
      <w:r w:rsidR="002A7487">
        <w:fldChar w:fldCharType="begin"/>
      </w:r>
      <w:r w:rsidR="002A7487">
        <w:instrText xml:space="preserve"> SEQ Proposal \* ARABIC </w:instrText>
      </w:r>
      <w:r w:rsidR="002A7487">
        <w:fldChar w:fldCharType="separate"/>
      </w:r>
      <w:r w:rsidR="00362242">
        <w:rPr>
          <w:noProof/>
        </w:rPr>
        <w:t>18</w:t>
      </w:r>
      <w:r w:rsidR="002A7487">
        <w:rPr>
          <w:noProof/>
        </w:rPr>
        <w:fldChar w:fldCharType="end"/>
      </w:r>
      <w:r>
        <w:t>: Discuss whether it is feasible for UE to distinguish between missing RS due to LBT failure and not detecting RS due to bad link condition.</w:t>
      </w:r>
      <w:bookmarkEnd w:id="28"/>
      <w:r>
        <w:t xml:space="preserve"> </w:t>
      </w:r>
    </w:p>
    <w:p w:rsidR="00447605" w:rsidRDefault="00447605" w:rsidP="00447605"/>
    <w:p w:rsidR="001D344F" w:rsidRDefault="00EF3DE8" w:rsidP="00EF3DE8">
      <w:pPr>
        <w:pStyle w:val="Heading2"/>
      </w:pPr>
      <w:r>
        <w:t>RLM measurements</w:t>
      </w:r>
    </w:p>
    <w:p w:rsidR="00054918" w:rsidRDefault="00A46773" w:rsidP="00EF3DE8">
      <w:pPr>
        <w:rPr>
          <w:lang w:val="en-GB"/>
        </w:rPr>
      </w:pPr>
      <w:r>
        <w:rPr>
          <w:lang w:val="en-GB"/>
        </w:rPr>
        <w:t xml:space="preserve">In NR R15, if a UE is configured with more than one RLM-RS resource for in-sync and out-of-sync evaluation, UE indicates out-of-sync to higher layers if all the RLM-RS resources are below </w:t>
      </w:r>
      <w:proofErr w:type="spellStart"/>
      <w:r>
        <w:rPr>
          <w:lang w:val="en-GB"/>
        </w:rPr>
        <w:t>Qout</w:t>
      </w:r>
      <w:proofErr w:type="spellEnd"/>
      <w:r>
        <w:rPr>
          <w:lang w:val="en-GB"/>
        </w:rPr>
        <w:t xml:space="preserve"> while UE indicates in-sync if any of the RLM-RS resource is above Qin. In this way, it can prevent UE from triggering radio link failure too often. In this section, we focus on the discussion of SSB-based RLM measurements. </w:t>
      </w:r>
      <w:r w:rsidR="0075308C">
        <w:rPr>
          <w:lang w:val="en-GB"/>
        </w:rPr>
        <w:t>With the protection of DRS windows, the chances of SSBs not being transmitted due to LBT failure in all candidate transmission positions should be low. However, since the maximum DRS transmission window is only 5msec, it is still possible that gNB has failed to pass LBT for all SSB candidate positions within a DRS transmission window for example when a neighbouring gNB has acquired the channel access wit</w:t>
      </w:r>
      <w:r>
        <w:rPr>
          <w:lang w:val="en-GB"/>
        </w:rPr>
        <w:t xml:space="preserve">h a channel occupancy of a duration longer than 5ms. </w:t>
      </w:r>
    </w:p>
    <w:p w:rsidR="00054918" w:rsidRDefault="00054918" w:rsidP="00054918">
      <w:pPr>
        <w:jc w:val="center"/>
      </w:pPr>
      <w:r>
        <w:object w:dxaOrig="11190" w:dyaOrig="4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9pt;height:179.8pt" o:ole="">
            <v:imagedata r:id="rId16" o:title=""/>
          </v:shape>
          <o:OLEObject Type="Embed" ProgID="Visio.Drawing.15" ShapeID="_x0000_i1025" DrawAspect="Content" ObjectID="_1632035807" r:id="rId17"/>
        </w:object>
      </w:r>
    </w:p>
    <w:p w:rsidR="00054918" w:rsidRPr="008A6649" w:rsidRDefault="00054918" w:rsidP="00054918">
      <w:pPr>
        <w:pStyle w:val="Caption"/>
        <w:rPr>
          <w:b w:val="0"/>
        </w:rPr>
      </w:pPr>
      <w:bookmarkStart w:id="29" w:name="_Ref16913559"/>
      <w:r w:rsidRPr="008A6649">
        <w:rPr>
          <w:b w:val="0"/>
        </w:rPr>
        <w:t xml:space="preserve">Figure </w:t>
      </w:r>
      <w:r w:rsidR="0064001A" w:rsidRPr="008A6649">
        <w:rPr>
          <w:b w:val="0"/>
        </w:rPr>
        <w:fldChar w:fldCharType="begin"/>
      </w:r>
      <w:r w:rsidR="0064001A" w:rsidRPr="008A6649">
        <w:rPr>
          <w:b w:val="0"/>
        </w:rPr>
        <w:instrText xml:space="preserve"> SEQ Figure \* ARABIC </w:instrText>
      </w:r>
      <w:r w:rsidR="0064001A" w:rsidRPr="008A6649">
        <w:rPr>
          <w:b w:val="0"/>
        </w:rPr>
        <w:fldChar w:fldCharType="separate"/>
      </w:r>
      <w:r w:rsidR="00362242">
        <w:rPr>
          <w:b w:val="0"/>
          <w:noProof/>
        </w:rPr>
        <w:t>1</w:t>
      </w:r>
      <w:r w:rsidR="0064001A" w:rsidRPr="008A6649">
        <w:rPr>
          <w:b w:val="0"/>
          <w:noProof/>
        </w:rPr>
        <w:fldChar w:fldCharType="end"/>
      </w:r>
      <w:bookmarkEnd w:id="29"/>
      <w:r w:rsidRPr="008A6649">
        <w:rPr>
          <w:b w:val="0"/>
        </w:rPr>
        <w:t xml:space="preserve">: Example of RLM evaluation. Note the evaluation periods are different for in-sync and out-of-sync evaluations. </w:t>
      </w:r>
    </w:p>
    <w:p w:rsidR="00054918" w:rsidRDefault="00054918" w:rsidP="00054918"/>
    <w:p w:rsidR="00903C95" w:rsidRDefault="00566EB8" w:rsidP="00EF3DE8">
      <w:r>
        <w:t xml:space="preserve">In </w:t>
      </w:r>
      <w:r>
        <w:fldChar w:fldCharType="begin"/>
      </w:r>
      <w:r>
        <w:instrText xml:space="preserve"> REF _Ref16913559 \h </w:instrText>
      </w:r>
      <w:r>
        <w:fldChar w:fldCharType="separate"/>
      </w:r>
      <w:r w:rsidR="00362242" w:rsidRPr="008A6649">
        <w:t xml:space="preserve">Figure </w:t>
      </w:r>
      <w:r w:rsidR="00362242">
        <w:rPr>
          <w:b/>
          <w:noProof/>
        </w:rPr>
        <w:t>1</w:t>
      </w:r>
      <w:r>
        <w:fldChar w:fldCharType="end"/>
      </w:r>
      <w:r>
        <w:t xml:space="preserve">, we illustrate RLM evaluation with a single RLM-RS resource. To improve measurement accuracy, measurements within the sliding window duration are all taken into account by the L1 filtering. Note the evaluation periods for out-of-sync evaluation and in-sync evaluation are different since the SINR ranges of interest are different. </w:t>
      </w:r>
      <w:r w:rsidR="004C7599">
        <w:t xml:space="preserve">Each RLM-RS in </w:t>
      </w:r>
      <w:r w:rsidR="004C7599">
        <w:fldChar w:fldCharType="begin"/>
      </w:r>
      <w:r w:rsidR="004C7599">
        <w:instrText xml:space="preserve"> REF _Ref16913559 \h </w:instrText>
      </w:r>
      <w:r w:rsidR="004C7599">
        <w:fldChar w:fldCharType="separate"/>
      </w:r>
      <w:r w:rsidR="00362242" w:rsidRPr="008A6649">
        <w:t xml:space="preserve">Figure </w:t>
      </w:r>
      <w:r w:rsidR="00362242">
        <w:rPr>
          <w:b/>
          <w:noProof/>
        </w:rPr>
        <w:t>1</w:t>
      </w:r>
      <w:r w:rsidR="004C7599">
        <w:fldChar w:fldCharType="end"/>
      </w:r>
      <w:r w:rsidR="004C7599">
        <w:t xml:space="preserve"> is represented by a DRS </w:t>
      </w:r>
      <w:proofErr w:type="spellStart"/>
      <w:proofErr w:type="gramStart"/>
      <w:r w:rsidR="004C7599">
        <w:t>tx</w:t>
      </w:r>
      <w:proofErr w:type="spellEnd"/>
      <w:proofErr w:type="gramEnd"/>
      <w:r w:rsidR="004C7599">
        <w:t xml:space="preserve"> window in </w:t>
      </w:r>
      <w:r w:rsidR="004C7599">
        <w:fldChar w:fldCharType="begin"/>
      </w:r>
      <w:r w:rsidR="004C7599">
        <w:instrText xml:space="preserve"> REF _Ref16664716 \h </w:instrText>
      </w:r>
      <w:r w:rsidR="004C7599">
        <w:fldChar w:fldCharType="separate"/>
      </w:r>
      <w:r w:rsidR="00362242" w:rsidRPr="004C7599">
        <w:t xml:space="preserve">Figure </w:t>
      </w:r>
      <w:r w:rsidR="00362242">
        <w:rPr>
          <w:noProof/>
        </w:rPr>
        <w:t>2</w:t>
      </w:r>
      <w:r w:rsidR="004C7599">
        <w:fldChar w:fldCharType="end"/>
      </w:r>
      <w:r w:rsidR="004C7599">
        <w:t xml:space="preserve"> and</w:t>
      </w:r>
      <w:r w:rsidR="004C7599" w:rsidRPr="002C1BC4">
        <w:t xml:space="preserve"> </w:t>
      </w:r>
      <w:r w:rsidR="002C1BC4" w:rsidRPr="002C1BC4">
        <w:fldChar w:fldCharType="begin"/>
      </w:r>
      <w:r w:rsidR="002C1BC4" w:rsidRPr="002C1BC4">
        <w:instrText xml:space="preserve"> REF _Ref16664727 \h  \* MERGEFORMAT </w:instrText>
      </w:r>
      <w:r w:rsidR="002C1BC4" w:rsidRPr="002C1BC4">
        <w:fldChar w:fldCharType="separate"/>
      </w:r>
      <w:r w:rsidR="00362242" w:rsidRPr="004C7599">
        <w:t xml:space="preserve">Figure </w:t>
      </w:r>
      <w:r w:rsidR="00362242" w:rsidRPr="00362242">
        <w:rPr>
          <w:noProof/>
        </w:rPr>
        <w:t>3</w:t>
      </w:r>
      <w:r w:rsidR="002C1BC4" w:rsidRPr="002C1BC4">
        <w:fldChar w:fldCharType="end"/>
      </w:r>
      <w:r w:rsidR="002C1BC4">
        <w:t xml:space="preserve"> where we have assumed</w:t>
      </w:r>
      <w:r w:rsidR="002C1BC4" w:rsidRPr="00FB0CD1">
        <w:t xml:space="preserve"> there are five candidate positions for this SSB within a DRS transmission window and at most one of them is actually used for </w:t>
      </w:r>
      <w:r w:rsidR="002C1BC4">
        <w:t xml:space="preserve">the SSB </w:t>
      </w:r>
      <w:r w:rsidR="002C1BC4" w:rsidRPr="00FB0CD1">
        <w:t xml:space="preserve">transmission </w:t>
      </w:r>
      <w:r w:rsidR="002C1BC4">
        <w:t xml:space="preserve">which is </w:t>
      </w:r>
      <w:r w:rsidR="002C1BC4" w:rsidRPr="00FB0CD1">
        <w:t>subject to LBT.</w:t>
      </w:r>
      <w:r w:rsidR="002C1BC4">
        <w:t xml:space="preserve"> When the channel is in a good SINR condition, it is more likely for UE to determine whether SSBs are successfully transmitted during one DRS transmission window. In other words, it is more likely for UE to rule out invalid measurements as Measurement 3 in </w:t>
      </w:r>
      <w:r w:rsidR="002C1BC4">
        <w:fldChar w:fldCharType="begin"/>
      </w:r>
      <w:r w:rsidR="002C1BC4">
        <w:instrText xml:space="preserve"> REF _Ref16664716 \h </w:instrText>
      </w:r>
      <w:r w:rsidR="002C1BC4">
        <w:fldChar w:fldCharType="separate"/>
      </w:r>
      <w:r w:rsidR="00362242" w:rsidRPr="004C7599">
        <w:t xml:space="preserve">Figure </w:t>
      </w:r>
      <w:r w:rsidR="00362242">
        <w:rPr>
          <w:noProof/>
        </w:rPr>
        <w:t>2</w:t>
      </w:r>
      <w:r w:rsidR="002C1BC4">
        <w:fldChar w:fldCharType="end"/>
      </w:r>
      <w:r w:rsidR="002C1BC4">
        <w:t xml:space="preserve">. Since the target SINR scenario of in-sync evaluation is high SINR, we think UE should be allowed to rule out measurements that are reliably determined as invalid measurements. </w:t>
      </w:r>
    </w:p>
    <w:p w:rsidR="002C1BC4" w:rsidRDefault="002C1BC4" w:rsidP="002C1BC4">
      <w:pPr>
        <w:pStyle w:val="Caption"/>
      </w:pPr>
      <w:bookmarkStart w:id="30" w:name="_Ref16919167"/>
      <w:r>
        <w:t xml:space="preserve">Observation </w:t>
      </w:r>
      <w:r w:rsidR="002A7487">
        <w:fldChar w:fldCharType="begin"/>
      </w:r>
      <w:r w:rsidR="002A7487">
        <w:instrText xml:space="preserve"> SEQ Observation \* ARABIC </w:instrText>
      </w:r>
      <w:r w:rsidR="002A7487">
        <w:fldChar w:fldCharType="separate"/>
      </w:r>
      <w:r w:rsidR="00362242">
        <w:rPr>
          <w:noProof/>
        </w:rPr>
        <w:t>7</w:t>
      </w:r>
      <w:r w:rsidR="002A7487">
        <w:rPr>
          <w:noProof/>
        </w:rPr>
        <w:fldChar w:fldCharType="end"/>
      </w:r>
      <w:r>
        <w:t>: It is more likely for UE to determine whether SSBs are successfully transmitted during one DRS transmission window in a high SINR condition than in a low SINR condition.</w:t>
      </w:r>
      <w:bookmarkEnd w:id="30"/>
      <w:r>
        <w:t xml:space="preserve"> </w:t>
      </w:r>
    </w:p>
    <w:p w:rsidR="002C1BC4" w:rsidRPr="00D56419" w:rsidRDefault="002C1BC4" w:rsidP="002C1BC4">
      <w:pPr>
        <w:pStyle w:val="Caption"/>
      </w:pPr>
      <w:bookmarkStart w:id="31" w:name="_Ref16919173"/>
      <w:r>
        <w:t xml:space="preserve">Observation </w:t>
      </w:r>
      <w:r w:rsidR="002A7487">
        <w:fldChar w:fldCharType="begin"/>
      </w:r>
      <w:r w:rsidR="002A7487">
        <w:instrText xml:space="preserve"> SEQ Observation \* ARABIC </w:instrText>
      </w:r>
      <w:r w:rsidR="002A7487">
        <w:fldChar w:fldCharType="separate"/>
      </w:r>
      <w:r w:rsidR="00362242">
        <w:rPr>
          <w:noProof/>
        </w:rPr>
        <w:t>8</w:t>
      </w:r>
      <w:r w:rsidR="002A7487">
        <w:rPr>
          <w:noProof/>
        </w:rPr>
        <w:fldChar w:fldCharType="end"/>
      </w:r>
      <w:r>
        <w:t>: In high SINR, UE may be able to rule out missing measurements due to LBT failure.</w:t>
      </w:r>
      <w:bookmarkEnd w:id="31"/>
      <w:r>
        <w:t xml:space="preserve"> </w:t>
      </w:r>
    </w:p>
    <w:p w:rsidR="002C1BC4" w:rsidRDefault="002C1BC4" w:rsidP="002C1BC4">
      <w:pPr>
        <w:pStyle w:val="Caption"/>
      </w:pPr>
      <w:bookmarkStart w:id="32" w:name="_Ref16919398"/>
      <w:r>
        <w:t xml:space="preserve">Proposal </w:t>
      </w:r>
      <w:r w:rsidR="002A7487">
        <w:fldChar w:fldCharType="begin"/>
      </w:r>
      <w:r w:rsidR="002A7487">
        <w:instrText xml:space="preserve"> SEQ Proposal \* ARABIC </w:instrText>
      </w:r>
      <w:r w:rsidR="002A7487">
        <w:fldChar w:fldCharType="separate"/>
      </w:r>
      <w:r w:rsidR="00362242">
        <w:rPr>
          <w:noProof/>
        </w:rPr>
        <w:t>19</w:t>
      </w:r>
      <w:r w:rsidR="002A7487">
        <w:rPr>
          <w:noProof/>
        </w:rPr>
        <w:fldChar w:fldCharType="end"/>
      </w:r>
      <w:r>
        <w:t xml:space="preserve">: For SSB-based RLM in-sync evaluation, UE may use measurements from </w:t>
      </w:r>
      <w:r w:rsidRPr="00C008BA">
        <w:rPr>
          <w:i/>
        </w:rPr>
        <w:t>only some</w:t>
      </w:r>
      <w:r>
        <w:t xml:space="preserve"> of the DRS transmission windows within the evaluation period for L1 filtering.</w:t>
      </w:r>
      <w:bookmarkEnd w:id="32"/>
    </w:p>
    <w:p w:rsidR="002C1BC4" w:rsidRPr="00150464" w:rsidRDefault="002C1BC4" w:rsidP="002C1BC4">
      <w:pPr>
        <w:pStyle w:val="Caption"/>
        <w:numPr>
          <w:ilvl w:val="0"/>
          <w:numId w:val="20"/>
        </w:numPr>
      </w:pPr>
      <w:r>
        <w:t>FFS: Which and the number of DRS transmission windows to be used</w:t>
      </w:r>
    </w:p>
    <w:p w:rsidR="002C1BC4" w:rsidRDefault="002C1BC4" w:rsidP="002C1BC4">
      <w:pPr>
        <w:pStyle w:val="Caption"/>
        <w:numPr>
          <w:ilvl w:val="0"/>
          <w:numId w:val="20"/>
        </w:numPr>
      </w:pPr>
      <w:r>
        <w:t>Note: It is up to RAN4 to decide whether and how the evaluation period is extended if not all DRS transmission windows are taken into consideration for L1 filtering.</w:t>
      </w:r>
    </w:p>
    <w:p w:rsidR="003E29BC" w:rsidRDefault="003E29BC" w:rsidP="003E29BC"/>
    <w:p w:rsidR="003E29BC" w:rsidRDefault="003E29BC" w:rsidP="003E29BC">
      <w:r>
        <w:object w:dxaOrig="15930" w:dyaOrig="4200">
          <v:shape id="_x0000_i1026" type="#_x0000_t75" style="width:478.75pt;height:128pt;mso-position-vertical:absolute" o:ole="">
            <v:imagedata r:id="rId18" o:title=""/>
          </v:shape>
          <o:OLEObject Type="Embed" ProgID="Visio.Drawing.15" ShapeID="_x0000_i1026" DrawAspect="Content" ObjectID="_1632035808" r:id="rId19"/>
        </w:object>
      </w:r>
    </w:p>
    <w:p w:rsidR="003E29BC" w:rsidRPr="004C7599" w:rsidRDefault="003E29BC" w:rsidP="003E29BC">
      <w:bookmarkStart w:id="33" w:name="_Ref16664716"/>
      <w:r w:rsidRPr="004C7599">
        <w:t xml:space="preserve">Figure </w:t>
      </w:r>
      <w:r w:rsidR="002A7487">
        <w:fldChar w:fldCharType="begin"/>
      </w:r>
      <w:r w:rsidR="002A7487">
        <w:instrText xml:space="preserve"> SEQ Figure \* ARABI</w:instrText>
      </w:r>
      <w:r w:rsidR="002A7487">
        <w:instrText xml:space="preserve">C </w:instrText>
      </w:r>
      <w:r w:rsidR="002A7487">
        <w:fldChar w:fldCharType="separate"/>
      </w:r>
      <w:r w:rsidR="00362242">
        <w:rPr>
          <w:noProof/>
        </w:rPr>
        <w:t>2</w:t>
      </w:r>
      <w:r w:rsidR="002A7487">
        <w:rPr>
          <w:noProof/>
        </w:rPr>
        <w:fldChar w:fldCharType="end"/>
      </w:r>
      <w:bookmarkEnd w:id="33"/>
      <w:r w:rsidRPr="004C7599">
        <w:t>: Presence and signal strength of an RLM-RS, i.e. an SSB in this case, configured for RLM measurements in all its candidate positions during the RLM evaluation period in a high SINR scenario. In this example, only measurements 1, 2, 4, and 5 are used for L1 filtering for in-sync evaluation assuming that UE can determine measurement 3 is invalid because the configured SSB is not transmitted in the DRS transmission window at time t3 due to LBT failure.</w:t>
      </w:r>
    </w:p>
    <w:p w:rsidR="00903C95" w:rsidRDefault="00903C95" w:rsidP="00EF3DE8"/>
    <w:p w:rsidR="002C1BC4" w:rsidRDefault="002C1BC4" w:rsidP="002C1BC4">
      <w:r>
        <w:t>On the oth</w:t>
      </w:r>
      <w:r w:rsidR="00FA12BA">
        <w:t>er hand, i</w:t>
      </w:r>
      <w:r w:rsidR="00FA12BA" w:rsidRPr="00FA12BA">
        <w:t>t is not clear whether UE can always determine the presence of an SSB configured for measurements in all different SINR scenarios, especially at a low SINR condition</w:t>
      </w:r>
      <w:r w:rsidR="00FA12BA">
        <w:t xml:space="preserve">. If the reliability of determination the presence of RS is high, then UE of course can use measurements that are determined as valid for L1 filtering. But if it is not feasible especially in low SINR condition which is the target SINR range for out-of-sync evaluation, then measurements from all the transmission windows are taken into L1 filtering. If all the SSBs configured for RLM measurements are blow </w:t>
      </w:r>
      <w:proofErr w:type="spellStart"/>
      <w:r w:rsidR="00FA12BA">
        <w:t>Qout</w:t>
      </w:r>
      <w:proofErr w:type="spellEnd"/>
      <w:r w:rsidR="00FA12BA">
        <w:t xml:space="preserve"> in all their candidate positions within the out-of-sync evaluation period, UE indicates OOS to its higher layers. </w:t>
      </w:r>
    </w:p>
    <w:p w:rsidR="002C1BC4" w:rsidRDefault="002C1BC4" w:rsidP="002C1BC4">
      <w:pPr>
        <w:pStyle w:val="Caption"/>
      </w:pPr>
      <w:bookmarkStart w:id="34" w:name="_Ref16919408"/>
      <w:r>
        <w:t xml:space="preserve">Proposal </w:t>
      </w:r>
      <w:r w:rsidR="002A7487">
        <w:fldChar w:fldCharType="begin"/>
      </w:r>
      <w:r w:rsidR="002A7487">
        <w:instrText xml:space="preserve"> SEQ Proposal \* ARABIC </w:instrText>
      </w:r>
      <w:r w:rsidR="002A7487">
        <w:fldChar w:fldCharType="separate"/>
      </w:r>
      <w:r w:rsidR="00362242">
        <w:rPr>
          <w:noProof/>
        </w:rPr>
        <w:t>20</w:t>
      </w:r>
      <w:r w:rsidR="002A7487">
        <w:rPr>
          <w:noProof/>
        </w:rPr>
        <w:fldChar w:fldCharType="end"/>
      </w:r>
      <w:r>
        <w:t>: For SSB-based RLM out-of-sync evaluation, depending on whether or not it is feasible for UE to distinguish the two cases between DTX of SSB due to LBT failure and not detecting SSB due to bad link quality, we have the following proposals.</w:t>
      </w:r>
      <w:bookmarkEnd w:id="34"/>
    </w:p>
    <w:p w:rsidR="002C1BC4" w:rsidRDefault="002C1BC4" w:rsidP="002C1BC4">
      <w:pPr>
        <w:pStyle w:val="Caption"/>
        <w:numPr>
          <w:ilvl w:val="0"/>
          <w:numId w:val="20"/>
        </w:numPr>
      </w:pPr>
      <w:r>
        <w:t xml:space="preserve">If it is feasible, UE may use measurements from </w:t>
      </w:r>
      <w:r w:rsidRPr="000F2041">
        <w:rPr>
          <w:i/>
        </w:rPr>
        <w:t>only some</w:t>
      </w:r>
      <w:r>
        <w:t xml:space="preserve"> of the DRS transmission windows within the out-of-sync evaluation period for L1 filtering.</w:t>
      </w:r>
    </w:p>
    <w:p w:rsidR="002C1BC4" w:rsidRDefault="002C1BC4" w:rsidP="002C1BC4">
      <w:pPr>
        <w:pStyle w:val="Caption"/>
        <w:numPr>
          <w:ilvl w:val="1"/>
          <w:numId w:val="20"/>
        </w:numPr>
      </w:pPr>
      <w:r>
        <w:t xml:space="preserve">Note: It is up to RAN4 to decide whether and how the out-of-sync evaluation period is extended. </w:t>
      </w:r>
    </w:p>
    <w:p w:rsidR="002C1BC4" w:rsidRDefault="002C1BC4" w:rsidP="00EF3DE8">
      <w:pPr>
        <w:pStyle w:val="Caption"/>
        <w:numPr>
          <w:ilvl w:val="0"/>
          <w:numId w:val="20"/>
        </w:numPr>
      </w:pPr>
      <w:r>
        <w:t xml:space="preserve">If it is not feasible, UE indicates OOS to higher layer when </w:t>
      </w:r>
      <w:r w:rsidRPr="000F2041">
        <w:t>all the SSBs configured for RLM measurem</w:t>
      </w:r>
      <w:r>
        <w:t xml:space="preserve">ents are </w:t>
      </w:r>
      <w:r w:rsidRPr="000F2041">
        <w:t xml:space="preserve">below </w:t>
      </w:r>
      <w:proofErr w:type="spellStart"/>
      <w:r w:rsidRPr="000F2041">
        <w:t>Qout</w:t>
      </w:r>
      <w:proofErr w:type="spellEnd"/>
      <w:r w:rsidRPr="000F2041">
        <w:t xml:space="preserve"> in all their candidate positions within the out-of-</w:t>
      </w:r>
      <w:r>
        <w:t>sync evaluation period</w:t>
      </w:r>
      <w:r w:rsidRPr="000F2041">
        <w:t>.</w:t>
      </w:r>
    </w:p>
    <w:p w:rsidR="003E29BC" w:rsidRDefault="003E29BC" w:rsidP="00EF3DE8"/>
    <w:p w:rsidR="003E29BC" w:rsidRDefault="003E29BC" w:rsidP="003E29BC">
      <w:r>
        <w:object w:dxaOrig="15930" w:dyaOrig="4330">
          <v:shape id="_x0000_i1027" type="#_x0000_t75" style="width:478.75pt;height:128.4pt" o:ole="">
            <v:imagedata r:id="rId20" o:title=""/>
          </v:shape>
          <o:OLEObject Type="Embed" ProgID="Visio.Drawing.15" ShapeID="_x0000_i1027" DrawAspect="Content" ObjectID="_1632035809" r:id="rId21"/>
        </w:object>
      </w:r>
    </w:p>
    <w:p w:rsidR="003E29BC" w:rsidRPr="008A6649" w:rsidRDefault="003E29BC" w:rsidP="008A6649">
      <w:pPr>
        <w:pStyle w:val="Caption"/>
        <w:rPr>
          <w:b w:val="0"/>
        </w:rPr>
      </w:pPr>
      <w:bookmarkStart w:id="35" w:name="_Ref16664727"/>
      <w:r w:rsidRPr="004C7599">
        <w:rPr>
          <w:b w:val="0"/>
        </w:rPr>
        <w:t xml:space="preserve">Figure </w:t>
      </w:r>
      <w:r w:rsidR="0064001A" w:rsidRPr="004C7599">
        <w:rPr>
          <w:b w:val="0"/>
        </w:rPr>
        <w:fldChar w:fldCharType="begin"/>
      </w:r>
      <w:r w:rsidR="0064001A" w:rsidRPr="004C7599">
        <w:rPr>
          <w:b w:val="0"/>
        </w:rPr>
        <w:instrText xml:space="preserve"> SEQ Figure \* ARABIC </w:instrText>
      </w:r>
      <w:r w:rsidR="0064001A" w:rsidRPr="004C7599">
        <w:rPr>
          <w:b w:val="0"/>
        </w:rPr>
        <w:fldChar w:fldCharType="separate"/>
      </w:r>
      <w:r w:rsidR="00362242">
        <w:rPr>
          <w:b w:val="0"/>
          <w:noProof/>
        </w:rPr>
        <w:t>3</w:t>
      </w:r>
      <w:r w:rsidR="0064001A" w:rsidRPr="004C7599">
        <w:rPr>
          <w:b w:val="0"/>
          <w:noProof/>
        </w:rPr>
        <w:fldChar w:fldCharType="end"/>
      </w:r>
      <w:bookmarkEnd w:id="35"/>
      <w:r w:rsidRPr="004C7599">
        <w:rPr>
          <w:b w:val="0"/>
        </w:rPr>
        <w:t xml:space="preserve">: Presence and signal strength of an RLM-RS, i.e. an SSB in this case, configured for RLM measurements in all its candidate positions during the RLM evaluation period a low SINR scenario. In this example, all measurements 1 to 5 should be used for L1 filtering for out-of-sync evaluation. </w:t>
      </w:r>
    </w:p>
    <w:p w:rsidR="00BD4808" w:rsidRDefault="00BD4808" w:rsidP="00BD4808"/>
    <w:p w:rsidR="00F20917" w:rsidRPr="00EC3126" w:rsidRDefault="00BD4808" w:rsidP="00F20917">
      <w:pPr>
        <w:pStyle w:val="Heading2"/>
      </w:pPr>
      <w:r>
        <w:t>RRM measurements</w:t>
      </w:r>
    </w:p>
    <w:tbl>
      <w:tblPr>
        <w:tblStyle w:val="TableGrid"/>
        <w:tblW w:w="0" w:type="auto"/>
        <w:tblLook w:val="04A0" w:firstRow="1" w:lastRow="0" w:firstColumn="1" w:lastColumn="0" w:noHBand="0" w:noVBand="1"/>
      </w:tblPr>
      <w:tblGrid>
        <w:gridCol w:w="9631"/>
      </w:tblGrid>
      <w:tr w:rsidR="00F77FBC" w:rsidRPr="00752254" w:rsidTr="00F77FBC">
        <w:tc>
          <w:tcPr>
            <w:tcW w:w="9631" w:type="dxa"/>
          </w:tcPr>
          <w:p w:rsidR="00F77FBC" w:rsidRPr="00752254" w:rsidRDefault="00F77FBC" w:rsidP="00F77FBC">
            <w:pPr>
              <w:rPr>
                <w:rFonts w:ascii="Times New Roman" w:hAnsi="Times New Roman"/>
                <w:lang w:eastAsia="x-none"/>
              </w:rPr>
            </w:pPr>
            <w:r w:rsidRPr="00752254">
              <w:rPr>
                <w:rFonts w:ascii="Times New Roman" w:hAnsi="Times New Roman"/>
                <w:highlight w:val="green"/>
                <w:lang w:eastAsia="x-none"/>
              </w:rPr>
              <w:t>Agreement:</w:t>
            </w:r>
            <w:r w:rsidRPr="00752254">
              <w:rPr>
                <w:rFonts w:ascii="Times New Roman" w:hAnsi="Times New Roman"/>
                <w:lang w:eastAsia="x-none"/>
              </w:rPr>
              <w:t xml:space="preserve"> (RAN1 #96)</w:t>
            </w:r>
          </w:p>
          <w:p w:rsidR="00F77FBC" w:rsidRPr="00752254" w:rsidRDefault="00F77FBC" w:rsidP="00F77FBC">
            <w:pPr>
              <w:numPr>
                <w:ilvl w:val="0"/>
                <w:numId w:val="21"/>
              </w:numPr>
              <w:overflowPunct/>
              <w:autoSpaceDE/>
              <w:autoSpaceDN/>
              <w:adjustRightInd/>
              <w:spacing w:after="0"/>
              <w:textAlignment w:val="auto"/>
              <w:rPr>
                <w:rFonts w:ascii="Times New Roman" w:hAnsi="Times New Roman"/>
                <w:lang w:eastAsia="x-none"/>
              </w:rPr>
            </w:pPr>
            <w:r w:rsidRPr="00752254">
              <w:rPr>
                <w:rFonts w:ascii="Times New Roman" w:hAnsi="Times New Roman"/>
                <w:lang w:eastAsia="x-none"/>
              </w:rPr>
              <w:t>At least the functionalities of Rel-13 LTE-LAA RSSI and channel occupancy reporting as a baseline should be supported</w:t>
            </w:r>
          </w:p>
          <w:p w:rsidR="00F77FBC" w:rsidRPr="00752254" w:rsidRDefault="00F77FBC" w:rsidP="00F77FBC">
            <w:pPr>
              <w:numPr>
                <w:ilvl w:val="0"/>
                <w:numId w:val="21"/>
              </w:numPr>
              <w:overflowPunct/>
              <w:autoSpaceDE/>
              <w:autoSpaceDN/>
              <w:adjustRightInd/>
              <w:spacing w:after="0"/>
              <w:textAlignment w:val="auto"/>
              <w:rPr>
                <w:rFonts w:ascii="Times New Roman" w:hAnsi="Times New Roman"/>
                <w:lang w:eastAsia="x-none"/>
              </w:rPr>
            </w:pPr>
            <w:r w:rsidRPr="00752254">
              <w:rPr>
                <w:rFonts w:ascii="Times New Roman" w:hAnsi="Times New Roman"/>
                <w:lang w:eastAsia="x-none"/>
              </w:rPr>
              <w:lastRenderedPageBreak/>
              <w:t xml:space="preserve">FFS: </w:t>
            </w:r>
          </w:p>
          <w:p w:rsidR="00F77FBC" w:rsidRPr="00752254" w:rsidRDefault="00F77FBC" w:rsidP="00752254">
            <w:pPr>
              <w:numPr>
                <w:ilvl w:val="1"/>
                <w:numId w:val="21"/>
              </w:numPr>
              <w:overflowPunct/>
              <w:autoSpaceDE/>
              <w:autoSpaceDN/>
              <w:adjustRightInd/>
              <w:spacing w:after="0"/>
              <w:textAlignment w:val="auto"/>
              <w:rPr>
                <w:rFonts w:ascii="Times New Roman" w:hAnsi="Times New Roman"/>
                <w:lang w:eastAsia="x-none"/>
              </w:rPr>
            </w:pPr>
            <w:r w:rsidRPr="00752254">
              <w:rPr>
                <w:rFonts w:ascii="Times New Roman" w:hAnsi="Times New Roman"/>
                <w:lang w:eastAsia="x-none"/>
              </w:rPr>
              <w:t>Enhanced RSSI metrics, for e.g., sub-band-level interference measurements in a wideband operation scenario</w:t>
            </w:r>
          </w:p>
          <w:p w:rsidR="00F77FBC" w:rsidRPr="00752254" w:rsidRDefault="00F77FBC" w:rsidP="00752254">
            <w:pPr>
              <w:numPr>
                <w:ilvl w:val="1"/>
                <w:numId w:val="21"/>
              </w:numPr>
              <w:overflowPunct/>
              <w:autoSpaceDE/>
              <w:autoSpaceDN/>
              <w:adjustRightInd/>
              <w:spacing w:after="0"/>
              <w:textAlignment w:val="auto"/>
              <w:rPr>
                <w:rFonts w:ascii="Times New Roman" w:hAnsi="Times New Roman"/>
                <w:lang w:eastAsia="x-none"/>
              </w:rPr>
            </w:pPr>
            <w:r w:rsidRPr="00752254">
              <w:rPr>
                <w:rFonts w:ascii="Times New Roman" w:hAnsi="Times New Roman"/>
                <w:lang w:eastAsia="x-none"/>
              </w:rPr>
              <w:t>Reporting of a new medium contention/load metric other than channel occupancy</w:t>
            </w:r>
          </w:p>
          <w:p w:rsidR="00F77FBC" w:rsidRPr="00752254" w:rsidRDefault="00F77FBC" w:rsidP="00752254">
            <w:pPr>
              <w:numPr>
                <w:ilvl w:val="1"/>
                <w:numId w:val="21"/>
              </w:numPr>
              <w:overflowPunct/>
              <w:autoSpaceDE/>
              <w:autoSpaceDN/>
              <w:adjustRightInd/>
              <w:spacing w:after="0"/>
              <w:textAlignment w:val="auto"/>
              <w:rPr>
                <w:rFonts w:ascii="Times New Roman" w:hAnsi="Times New Roman"/>
                <w:lang w:eastAsia="x-none"/>
              </w:rPr>
            </w:pPr>
            <w:r w:rsidRPr="00752254">
              <w:rPr>
                <w:rFonts w:ascii="Times New Roman" w:hAnsi="Times New Roman"/>
                <w:lang w:eastAsia="x-none"/>
              </w:rPr>
              <w:t>Any modification of the parameters of the Rel-15 SMTC for operation in unlicensed spectrum</w:t>
            </w:r>
          </w:p>
        </w:tc>
      </w:tr>
    </w:tbl>
    <w:p w:rsidR="00BD4808" w:rsidRDefault="00BD4808" w:rsidP="00BD4808">
      <w:pPr>
        <w:rPr>
          <w:lang w:val="en-GB"/>
        </w:rPr>
      </w:pPr>
    </w:p>
    <w:p w:rsidR="006D6149" w:rsidRPr="00122765" w:rsidRDefault="00AB0334" w:rsidP="00BD4808">
      <w:r>
        <w:t xml:space="preserve">In last RAN4 meeting, the issue of RSSI definition was discussed in </w:t>
      </w:r>
      <w:r>
        <w:fldChar w:fldCharType="begin"/>
      </w:r>
      <w:r>
        <w:instrText xml:space="preserve"> REF _Ref16916357 \w \h </w:instrText>
      </w:r>
      <w:r>
        <w:fldChar w:fldCharType="separate"/>
      </w:r>
      <w:r w:rsidR="00362242">
        <w:t>[2]</w:t>
      </w:r>
      <w:r>
        <w:fldChar w:fldCharType="end"/>
      </w:r>
      <w:r>
        <w:t xml:space="preserve"> and related CR for LAA test cases was agreed in </w:t>
      </w:r>
      <w:r>
        <w:fldChar w:fldCharType="begin"/>
      </w:r>
      <w:r>
        <w:instrText xml:space="preserve"> REF _Ref16916373 \w \h </w:instrText>
      </w:r>
      <w:r>
        <w:fldChar w:fldCharType="separate"/>
      </w:r>
      <w:r w:rsidR="00362242">
        <w:t>[3]</w:t>
      </w:r>
      <w:r>
        <w:fldChar w:fldCharType="end"/>
      </w:r>
      <w:r>
        <w:t xml:space="preserve">. </w:t>
      </w:r>
      <w:r w:rsidR="006D6149">
        <w:t xml:space="preserve">The issue discussed by is that according to the definition of RSSI in LTE, the reported RSSI is not normalized by the measurement bandwidth where the measurement bandwidth is decided by UE as long as UE can meet RAN4’s requirements. This may lead to different reported measurements even when two UEs are measuring the same carrier if their measurement bandwidths are different. Without the knowledge of UE’s measurement bandwidth, it is difficult for the network to utilize the measurement results reported by different UEs. To avoid encountering the same issue we have in LTE, we hence propose RSSI in NR-U should be normalized by N which is the number of PRBs used by UE for measurement. Having the definition of RSSI changed, the threshold configured for channel occupancy reporting should be changed accordingly.  </w:t>
      </w:r>
    </w:p>
    <w:p w:rsidR="00172067" w:rsidRDefault="00172067" w:rsidP="006D6149">
      <w:pPr>
        <w:pStyle w:val="Caption"/>
      </w:pPr>
      <w:bookmarkStart w:id="36" w:name="_Ref16919179"/>
      <w:r>
        <w:t xml:space="preserve">Observation </w:t>
      </w:r>
      <w:r w:rsidR="002A7487">
        <w:fldChar w:fldCharType="begin"/>
      </w:r>
      <w:r w:rsidR="002A7487">
        <w:instrText xml:space="preserve"> SEQ Observation \* ARABIC </w:instrText>
      </w:r>
      <w:r w:rsidR="002A7487">
        <w:fldChar w:fldCharType="separate"/>
      </w:r>
      <w:r w:rsidR="00362242">
        <w:rPr>
          <w:noProof/>
        </w:rPr>
        <w:t>9</w:t>
      </w:r>
      <w:r w:rsidR="002A7487">
        <w:rPr>
          <w:noProof/>
        </w:rPr>
        <w:fldChar w:fldCharType="end"/>
      </w:r>
      <w:r>
        <w:t>:</w:t>
      </w:r>
      <w:r w:rsidRPr="00216035">
        <w:t xml:space="preserve"> According to the current definition of RSSI in LTE, the reported RSSI value scales with the number or PRBs which is completely up to UE implementation.</w:t>
      </w:r>
      <w:bookmarkEnd w:id="36"/>
      <w:r w:rsidRPr="00216035">
        <w:t xml:space="preserve">  </w:t>
      </w:r>
    </w:p>
    <w:p w:rsidR="00172067" w:rsidRPr="00472F08" w:rsidRDefault="00172067" w:rsidP="006D6149">
      <w:pPr>
        <w:pStyle w:val="Caption"/>
      </w:pPr>
      <w:bookmarkStart w:id="37" w:name="_Ref16919185"/>
      <w:r>
        <w:t xml:space="preserve">Observation </w:t>
      </w:r>
      <w:r w:rsidR="002A7487">
        <w:fldChar w:fldCharType="begin"/>
      </w:r>
      <w:r w:rsidR="002A7487">
        <w:instrText xml:space="preserve"> SEQ Observation \* ARABIC </w:instrText>
      </w:r>
      <w:r w:rsidR="002A7487">
        <w:fldChar w:fldCharType="separate"/>
      </w:r>
      <w:r w:rsidR="00362242">
        <w:rPr>
          <w:noProof/>
        </w:rPr>
        <w:t>10</w:t>
      </w:r>
      <w:r w:rsidR="002A7487">
        <w:rPr>
          <w:noProof/>
        </w:rPr>
        <w:fldChar w:fldCharType="end"/>
      </w:r>
      <w:r>
        <w:t xml:space="preserve">: </w:t>
      </w:r>
      <w:r w:rsidRPr="00472F08">
        <w:t xml:space="preserve">The uncertainty in number of PRBs used for RSSI measurement makes the reported RSSI, </w:t>
      </w:r>
      <w:proofErr w:type="spellStart"/>
      <w:r w:rsidRPr="00472F08">
        <w:t>channelOccupancy</w:t>
      </w:r>
      <w:proofErr w:type="spellEnd"/>
      <w:r w:rsidRPr="00472F08">
        <w:t xml:space="preserve"> and </w:t>
      </w:r>
      <w:proofErr w:type="spellStart"/>
      <w:r w:rsidRPr="00472F08">
        <w:t>threshS</w:t>
      </w:r>
      <w:proofErr w:type="spellEnd"/>
      <w:r w:rsidRPr="00472F08">
        <w:t>-RSSI-CBR difficult to be used by network.</w:t>
      </w:r>
      <w:bookmarkEnd w:id="37"/>
    </w:p>
    <w:p w:rsidR="00172067" w:rsidRDefault="00172067" w:rsidP="006D6149">
      <w:pPr>
        <w:pStyle w:val="Caption"/>
      </w:pPr>
      <w:bookmarkStart w:id="38" w:name="_Ref16919422"/>
      <w:r>
        <w:t xml:space="preserve">Proposal </w:t>
      </w:r>
      <w:r w:rsidR="002A7487">
        <w:fldChar w:fldCharType="begin"/>
      </w:r>
      <w:r w:rsidR="002A7487">
        <w:instrText xml:space="preserve"> SEQ Proposal \* ARABIC </w:instrText>
      </w:r>
      <w:r w:rsidR="002A7487">
        <w:fldChar w:fldCharType="separate"/>
      </w:r>
      <w:r w:rsidR="00362242">
        <w:rPr>
          <w:noProof/>
        </w:rPr>
        <w:t>21</w:t>
      </w:r>
      <w:r w:rsidR="002A7487">
        <w:rPr>
          <w:noProof/>
        </w:rPr>
        <w:fldChar w:fldCharType="end"/>
      </w:r>
      <w:r>
        <w:t>: T</w:t>
      </w:r>
      <w:r w:rsidRPr="0051620C">
        <w:t>he reported RSSI value is normalized by N, which is the number PRBs used by UE for measurement. The exact value of N should be up to UE’s implementation, as long as UE can fulfill RAN4’s requirement.</w:t>
      </w:r>
      <w:bookmarkEnd w:id="38"/>
    </w:p>
    <w:p w:rsidR="00122765" w:rsidRDefault="00172067" w:rsidP="009B0107">
      <w:pPr>
        <w:pStyle w:val="Caption"/>
      </w:pPr>
      <w:bookmarkStart w:id="39" w:name="_Ref21422940"/>
      <w:r>
        <w:t xml:space="preserve">Proposal </w:t>
      </w:r>
      <w:r w:rsidR="002A7487">
        <w:fldChar w:fldCharType="begin"/>
      </w:r>
      <w:r w:rsidR="002A7487">
        <w:instrText xml:space="preserve"> SEQ Proposal </w:instrText>
      </w:r>
      <w:r w:rsidR="002A7487">
        <w:instrText xml:space="preserve">\* ARABIC </w:instrText>
      </w:r>
      <w:r w:rsidR="002A7487">
        <w:fldChar w:fldCharType="separate"/>
      </w:r>
      <w:r w:rsidR="00362242">
        <w:rPr>
          <w:noProof/>
        </w:rPr>
        <w:t>22</w:t>
      </w:r>
      <w:r w:rsidR="002A7487">
        <w:rPr>
          <w:noProof/>
        </w:rPr>
        <w:fldChar w:fldCharType="end"/>
      </w:r>
      <w:r>
        <w:t xml:space="preserve">: </w:t>
      </w:r>
      <w:r w:rsidRPr="00F74F5D">
        <w:t>The corresponding thresholds used in channel Occupancy measurement should be changed correspondingly.</w:t>
      </w:r>
      <w:bookmarkEnd w:id="39"/>
    </w:p>
    <w:p w:rsidR="00122765" w:rsidRPr="00122765" w:rsidRDefault="00122765" w:rsidP="00122765">
      <w:r>
        <w:t xml:space="preserve">Finally, since wide-band operation has been agreed for NR-U, we think the RSSI and channel occupancy measurements should be enhanced to support sub-band-level </w:t>
      </w:r>
      <w:r w:rsidR="001223D2">
        <w:t xml:space="preserve">measurements and reporting. </w:t>
      </w:r>
    </w:p>
    <w:p w:rsidR="00172067" w:rsidRDefault="00172067" w:rsidP="00172067">
      <w:pPr>
        <w:pStyle w:val="Caption"/>
      </w:pPr>
      <w:bookmarkStart w:id="40" w:name="_Ref16919435"/>
      <w:r>
        <w:t xml:space="preserve">Proposal </w:t>
      </w:r>
      <w:r w:rsidR="002A7487">
        <w:fldChar w:fldCharType="begin"/>
      </w:r>
      <w:r w:rsidR="002A7487">
        <w:instrText xml:space="preserve"> SEQ Proposal \* ARABIC </w:instrText>
      </w:r>
      <w:r w:rsidR="002A7487">
        <w:fldChar w:fldCharType="separate"/>
      </w:r>
      <w:r w:rsidR="00362242">
        <w:rPr>
          <w:noProof/>
        </w:rPr>
        <w:t>23</w:t>
      </w:r>
      <w:r w:rsidR="002A7487">
        <w:rPr>
          <w:noProof/>
        </w:rPr>
        <w:fldChar w:fldCharType="end"/>
      </w:r>
      <w:r>
        <w:t xml:space="preserve">: Sub-band-level RSSI </w:t>
      </w:r>
      <w:r w:rsidR="00873253">
        <w:t xml:space="preserve">and channel occupancy </w:t>
      </w:r>
      <w:r>
        <w:t>measurements should be supported.</w:t>
      </w:r>
      <w:bookmarkEnd w:id="40"/>
      <w:r>
        <w:t xml:space="preserve"> </w:t>
      </w:r>
    </w:p>
    <w:p w:rsidR="003F3EBF" w:rsidRDefault="003F3EBF" w:rsidP="003F3EBF"/>
    <w:p w:rsidR="003F3EBF" w:rsidRPr="009C1480" w:rsidRDefault="003F3EBF" w:rsidP="003F3EBF">
      <w:pPr>
        <w:pStyle w:val="Heading1"/>
        <w:jc w:val="both"/>
        <w:rPr>
          <w:lang w:eastAsia="zh-CN"/>
        </w:rPr>
      </w:pPr>
      <w:r>
        <w:rPr>
          <w:lang w:eastAsia="zh-CN"/>
        </w:rPr>
        <w:t>Conclusions</w:t>
      </w:r>
    </w:p>
    <w:p w:rsidR="008A3FFA" w:rsidRDefault="006F1C12" w:rsidP="00BD4808">
      <w:r>
        <w:t>In this contribution, we have the following observations.</w:t>
      </w:r>
    </w:p>
    <w:p w:rsidR="006F1C12" w:rsidRPr="004C7AE3" w:rsidRDefault="004C7AE3" w:rsidP="00BD4808">
      <w:pPr>
        <w:rPr>
          <w:b/>
        </w:rPr>
      </w:pPr>
      <w:r w:rsidRPr="004C7AE3">
        <w:rPr>
          <w:b/>
        </w:rPr>
        <w:fldChar w:fldCharType="begin"/>
      </w:r>
      <w:r w:rsidRPr="004C7AE3">
        <w:rPr>
          <w:b/>
        </w:rPr>
        <w:instrText xml:space="preserve"> REF _Ref534988931 \h </w:instrText>
      </w:r>
      <w:r w:rsidRPr="004C7AE3">
        <w:rPr>
          <w:b/>
        </w:rPr>
      </w:r>
      <w:r>
        <w:rPr>
          <w:b/>
        </w:rPr>
        <w:instrText xml:space="preserve"> \* MERGEFORMAT </w:instrText>
      </w:r>
      <w:r w:rsidRPr="004C7AE3">
        <w:rPr>
          <w:b/>
        </w:rPr>
        <w:fldChar w:fldCharType="separate"/>
      </w:r>
      <w:r w:rsidRPr="004C7AE3">
        <w:rPr>
          <w:b/>
        </w:rPr>
        <w:t xml:space="preserve">Observation </w:t>
      </w:r>
      <w:r w:rsidRPr="004C7AE3">
        <w:rPr>
          <w:b/>
          <w:noProof/>
        </w:rPr>
        <w:t>1</w:t>
      </w:r>
      <w:r w:rsidRPr="004C7AE3">
        <w:rPr>
          <w:b/>
        </w:rPr>
        <w:t>: It is not clear how multiple PRACH resources can be allocated across multiple LBT sub-bands/carriers for UEs in initial access or idle mode since it has been agreed initial active DL/UL BWPs are approximately 20MHz.</w:t>
      </w:r>
      <w:r w:rsidRPr="004C7AE3">
        <w:rPr>
          <w:b/>
        </w:rPr>
        <w:fldChar w:fldCharType="end"/>
      </w:r>
    </w:p>
    <w:p w:rsidR="004C7AE3" w:rsidRPr="004C7AE3" w:rsidRDefault="004C7AE3" w:rsidP="00BD4808">
      <w:pPr>
        <w:rPr>
          <w:b/>
        </w:rPr>
      </w:pPr>
      <w:r w:rsidRPr="004C7AE3">
        <w:rPr>
          <w:b/>
        </w:rPr>
        <w:fldChar w:fldCharType="begin"/>
      </w:r>
      <w:r w:rsidRPr="004C7AE3">
        <w:rPr>
          <w:b/>
        </w:rPr>
        <w:instrText xml:space="preserve"> REF _Ref16919128 \h </w:instrText>
      </w:r>
      <w:r w:rsidRPr="004C7AE3">
        <w:rPr>
          <w:b/>
        </w:rPr>
      </w:r>
      <w:r>
        <w:rPr>
          <w:b/>
        </w:rPr>
        <w:instrText xml:space="preserve"> \* MERGEFORMAT </w:instrText>
      </w:r>
      <w:r w:rsidRPr="004C7AE3">
        <w:rPr>
          <w:b/>
        </w:rPr>
        <w:fldChar w:fldCharType="separate"/>
      </w:r>
      <w:r w:rsidRPr="004C7AE3">
        <w:rPr>
          <w:b/>
        </w:rPr>
        <w:t xml:space="preserve">Observation </w:t>
      </w:r>
      <w:r w:rsidRPr="004C7AE3">
        <w:rPr>
          <w:b/>
          <w:noProof/>
        </w:rPr>
        <w:t>2</w:t>
      </w:r>
      <w:r w:rsidRPr="004C7AE3">
        <w:rPr>
          <w:b/>
        </w:rPr>
        <w:t>: On the other hand, it is beneficial to have PRACH resources over multiple LBT sub-bands/carriers for UE to increase the LBT success rate.</w:t>
      </w:r>
      <w:r w:rsidRPr="004C7AE3">
        <w:rPr>
          <w:b/>
        </w:rPr>
        <w:fldChar w:fldCharType="end"/>
      </w:r>
    </w:p>
    <w:p w:rsidR="004C7AE3" w:rsidRPr="004C7AE3" w:rsidRDefault="004C7AE3" w:rsidP="00BD4808">
      <w:pPr>
        <w:rPr>
          <w:b/>
        </w:rPr>
      </w:pPr>
      <w:r w:rsidRPr="004C7AE3">
        <w:rPr>
          <w:b/>
        </w:rPr>
        <w:fldChar w:fldCharType="begin"/>
      </w:r>
      <w:r w:rsidRPr="004C7AE3">
        <w:rPr>
          <w:b/>
        </w:rPr>
        <w:instrText xml:space="preserve"> REF _Ref534988937 \h </w:instrText>
      </w:r>
      <w:r w:rsidRPr="004C7AE3">
        <w:rPr>
          <w:b/>
        </w:rPr>
      </w:r>
      <w:r>
        <w:rPr>
          <w:b/>
        </w:rPr>
        <w:instrText xml:space="preserve"> \* MERGEFORMAT </w:instrText>
      </w:r>
      <w:r w:rsidRPr="004C7AE3">
        <w:rPr>
          <w:b/>
        </w:rPr>
        <w:fldChar w:fldCharType="separate"/>
      </w:r>
      <w:r w:rsidRPr="004C7AE3">
        <w:rPr>
          <w:b/>
        </w:rPr>
        <w:t xml:space="preserve">Observation </w:t>
      </w:r>
      <w:r w:rsidRPr="004C7AE3">
        <w:rPr>
          <w:b/>
          <w:noProof/>
        </w:rPr>
        <w:t>3</w:t>
      </w:r>
      <w:r w:rsidRPr="004C7AE3">
        <w:rPr>
          <w:b/>
        </w:rPr>
        <w:t>: Providing multiple Msg1 transmission opportunities is beneficial to mitigate the impact of LBT failures. However, it is not clear why the actual transmission of multiple Msg1s is needed.</w:t>
      </w:r>
      <w:r w:rsidRPr="004C7AE3">
        <w:rPr>
          <w:b/>
        </w:rPr>
        <w:fldChar w:fldCharType="end"/>
      </w:r>
    </w:p>
    <w:p w:rsidR="004C7AE3" w:rsidRPr="004C7AE3" w:rsidRDefault="004C7AE3" w:rsidP="00BD4808">
      <w:pPr>
        <w:rPr>
          <w:b/>
        </w:rPr>
      </w:pPr>
      <w:r w:rsidRPr="004C7AE3">
        <w:rPr>
          <w:b/>
        </w:rPr>
        <w:fldChar w:fldCharType="begin"/>
      </w:r>
      <w:r w:rsidRPr="004C7AE3">
        <w:rPr>
          <w:b/>
        </w:rPr>
        <w:instrText xml:space="preserve"> REF _Ref534988943 \h </w:instrText>
      </w:r>
      <w:r w:rsidRPr="004C7AE3">
        <w:rPr>
          <w:b/>
        </w:rPr>
      </w:r>
      <w:r>
        <w:rPr>
          <w:b/>
        </w:rPr>
        <w:instrText xml:space="preserve"> \* MERGEFORMAT </w:instrText>
      </w:r>
      <w:r w:rsidRPr="004C7AE3">
        <w:rPr>
          <w:b/>
        </w:rPr>
        <w:fldChar w:fldCharType="separate"/>
      </w:r>
      <w:r w:rsidRPr="004C7AE3">
        <w:rPr>
          <w:b/>
        </w:rPr>
        <w:t xml:space="preserve">Observation </w:t>
      </w:r>
      <w:r w:rsidRPr="004C7AE3">
        <w:rPr>
          <w:b/>
          <w:noProof/>
        </w:rPr>
        <w:t>4</w:t>
      </w:r>
      <w:r w:rsidRPr="004C7AE3">
        <w:rPr>
          <w:b/>
        </w:rPr>
        <w:t>: Group wise SSB-to-RO mapping by frequency first-time second manner seems already supported by NR PRACH configurations.</w:t>
      </w:r>
      <w:r w:rsidRPr="004C7AE3">
        <w:rPr>
          <w:b/>
        </w:rPr>
        <w:fldChar w:fldCharType="end"/>
      </w:r>
    </w:p>
    <w:p w:rsidR="004C7AE3" w:rsidRPr="004C7AE3" w:rsidRDefault="004C7AE3" w:rsidP="00BD4808">
      <w:pPr>
        <w:rPr>
          <w:b/>
        </w:rPr>
      </w:pPr>
      <w:r w:rsidRPr="004C7AE3">
        <w:rPr>
          <w:b/>
        </w:rPr>
        <w:fldChar w:fldCharType="begin"/>
      </w:r>
      <w:r w:rsidRPr="004C7AE3">
        <w:rPr>
          <w:b/>
        </w:rPr>
        <w:instrText xml:space="preserve"> REF _Ref534988949 \h </w:instrText>
      </w:r>
      <w:r w:rsidRPr="004C7AE3">
        <w:rPr>
          <w:b/>
        </w:rPr>
      </w:r>
      <w:r>
        <w:rPr>
          <w:b/>
        </w:rPr>
        <w:instrText xml:space="preserve"> \* MERGEFORMAT </w:instrText>
      </w:r>
      <w:r w:rsidRPr="004C7AE3">
        <w:rPr>
          <w:b/>
        </w:rPr>
        <w:fldChar w:fldCharType="separate"/>
      </w:r>
      <w:r w:rsidRPr="004C7AE3">
        <w:rPr>
          <w:b/>
        </w:rPr>
        <w:t xml:space="preserve">Observation </w:t>
      </w:r>
      <w:r w:rsidRPr="004C7AE3">
        <w:rPr>
          <w:b/>
          <w:noProof/>
        </w:rPr>
        <w:t>5</w:t>
      </w:r>
      <w:r w:rsidRPr="004C7AE3">
        <w:rPr>
          <w:b/>
        </w:rPr>
        <w:t>: In NR, the positions of SS/PBCH blocks are taken into account for determining the validation of a RACH occasion.</w:t>
      </w:r>
      <w:r w:rsidRPr="004C7AE3">
        <w:rPr>
          <w:b/>
        </w:rPr>
        <w:fldChar w:fldCharType="end"/>
      </w:r>
    </w:p>
    <w:p w:rsidR="004C7AE3" w:rsidRPr="004C7AE3" w:rsidRDefault="004C7AE3" w:rsidP="00BD4808">
      <w:pPr>
        <w:rPr>
          <w:b/>
        </w:rPr>
      </w:pPr>
      <w:r w:rsidRPr="004C7AE3">
        <w:rPr>
          <w:b/>
        </w:rPr>
        <w:fldChar w:fldCharType="begin"/>
      </w:r>
      <w:r w:rsidRPr="004C7AE3">
        <w:rPr>
          <w:b/>
        </w:rPr>
        <w:instrText xml:space="preserve"> REF _Ref534988955 \h </w:instrText>
      </w:r>
      <w:r w:rsidRPr="004C7AE3">
        <w:rPr>
          <w:b/>
        </w:rPr>
      </w:r>
      <w:r>
        <w:rPr>
          <w:b/>
        </w:rPr>
        <w:instrText xml:space="preserve"> \* MERGEFORMAT </w:instrText>
      </w:r>
      <w:r w:rsidRPr="004C7AE3">
        <w:rPr>
          <w:b/>
        </w:rPr>
        <w:fldChar w:fldCharType="separate"/>
      </w:r>
      <w:r w:rsidRPr="004C7AE3">
        <w:rPr>
          <w:b/>
        </w:rPr>
        <w:t xml:space="preserve">Observation </w:t>
      </w:r>
      <w:r w:rsidRPr="004C7AE3">
        <w:rPr>
          <w:b/>
          <w:noProof/>
        </w:rPr>
        <w:t>6</w:t>
      </w:r>
      <w:r w:rsidRPr="004C7AE3">
        <w:rPr>
          <w:b/>
        </w:rPr>
        <w:t>: In NR-U, there are more than one possible position for a SS/PBCH block within a DMTC window.</w:t>
      </w:r>
      <w:r w:rsidRPr="004C7AE3">
        <w:rPr>
          <w:b/>
        </w:rPr>
        <w:fldChar w:fldCharType="end"/>
      </w:r>
    </w:p>
    <w:p w:rsidR="004C7AE3" w:rsidRPr="004C7AE3" w:rsidRDefault="004C7AE3" w:rsidP="00BD4808">
      <w:pPr>
        <w:rPr>
          <w:b/>
        </w:rPr>
      </w:pPr>
      <w:r w:rsidRPr="004C7AE3">
        <w:rPr>
          <w:b/>
        </w:rPr>
        <w:fldChar w:fldCharType="begin"/>
      </w:r>
      <w:r w:rsidRPr="004C7AE3">
        <w:rPr>
          <w:b/>
        </w:rPr>
        <w:instrText xml:space="preserve"> REF _Ref16919167 \h </w:instrText>
      </w:r>
      <w:r w:rsidRPr="004C7AE3">
        <w:rPr>
          <w:b/>
        </w:rPr>
      </w:r>
      <w:r>
        <w:rPr>
          <w:b/>
        </w:rPr>
        <w:instrText xml:space="preserve"> \* MERGEFORMAT </w:instrText>
      </w:r>
      <w:r w:rsidRPr="004C7AE3">
        <w:rPr>
          <w:b/>
        </w:rPr>
        <w:fldChar w:fldCharType="separate"/>
      </w:r>
      <w:r w:rsidRPr="004C7AE3">
        <w:rPr>
          <w:b/>
        </w:rPr>
        <w:t xml:space="preserve">Observation </w:t>
      </w:r>
      <w:r w:rsidRPr="004C7AE3">
        <w:rPr>
          <w:b/>
          <w:noProof/>
        </w:rPr>
        <w:t>7</w:t>
      </w:r>
      <w:r w:rsidRPr="004C7AE3">
        <w:rPr>
          <w:b/>
        </w:rPr>
        <w:t>: It is more likely for UE to determine whether SSBs are successfully transmitted during one DRS transmission window in a high SINR condition than in a low SINR condition.</w:t>
      </w:r>
      <w:r w:rsidRPr="004C7AE3">
        <w:rPr>
          <w:b/>
        </w:rPr>
        <w:fldChar w:fldCharType="end"/>
      </w:r>
    </w:p>
    <w:p w:rsidR="004C7AE3" w:rsidRPr="004C7AE3" w:rsidRDefault="004C7AE3" w:rsidP="00BD4808">
      <w:pPr>
        <w:rPr>
          <w:b/>
        </w:rPr>
      </w:pPr>
      <w:r w:rsidRPr="004C7AE3">
        <w:rPr>
          <w:b/>
        </w:rPr>
        <w:fldChar w:fldCharType="begin"/>
      </w:r>
      <w:r w:rsidRPr="004C7AE3">
        <w:rPr>
          <w:b/>
        </w:rPr>
        <w:instrText xml:space="preserve"> REF _Ref16919173 \h </w:instrText>
      </w:r>
      <w:r w:rsidRPr="004C7AE3">
        <w:rPr>
          <w:b/>
        </w:rPr>
      </w:r>
      <w:r>
        <w:rPr>
          <w:b/>
        </w:rPr>
        <w:instrText xml:space="preserve"> \* MERGEFORMAT </w:instrText>
      </w:r>
      <w:r w:rsidRPr="004C7AE3">
        <w:rPr>
          <w:b/>
        </w:rPr>
        <w:fldChar w:fldCharType="separate"/>
      </w:r>
      <w:r w:rsidRPr="004C7AE3">
        <w:rPr>
          <w:b/>
        </w:rPr>
        <w:t xml:space="preserve">Observation </w:t>
      </w:r>
      <w:r w:rsidRPr="004C7AE3">
        <w:rPr>
          <w:b/>
          <w:noProof/>
        </w:rPr>
        <w:t>8</w:t>
      </w:r>
      <w:r w:rsidRPr="004C7AE3">
        <w:rPr>
          <w:b/>
        </w:rPr>
        <w:t>: In high SINR, UE may be able to rule out missing measurements due to LBT failure.</w:t>
      </w:r>
      <w:r w:rsidRPr="004C7AE3">
        <w:rPr>
          <w:b/>
        </w:rPr>
        <w:fldChar w:fldCharType="end"/>
      </w:r>
    </w:p>
    <w:p w:rsidR="004C7AE3" w:rsidRPr="004C7AE3" w:rsidRDefault="004C7AE3" w:rsidP="00BD4808">
      <w:pPr>
        <w:rPr>
          <w:b/>
        </w:rPr>
      </w:pPr>
      <w:r w:rsidRPr="004C7AE3">
        <w:rPr>
          <w:b/>
        </w:rPr>
        <w:lastRenderedPageBreak/>
        <w:fldChar w:fldCharType="begin"/>
      </w:r>
      <w:r w:rsidRPr="004C7AE3">
        <w:rPr>
          <w:b/>
        </w:rPr>
        <w:instrText xml:space="preserve"> REF _Ref16919179 \h </w:instrText>
      </w:r>
      <w:r w:rsidRPr="004C7AE3">
        <w:rPr>
          <w:b/>
        </w:rPr>
      </w:r>
      <w:r>
        <w:rPr>
          <w:b/>
        </w:rPr>
        <w:instrText xml:space="preserve"> \* MERGEFORMAT </w:instrText>
      </w:r>
      <w:r w:rsidRPr="004C7AE3">
        <w:rPr>
          <w:b/>
        </w:rPr>
        <w:fldChar w:fldCharType="separate"/>
      </w:r>
      <w:r w:rsidRPr="004C7AE3">
        <w:rPr>
          <w:b/>
        </w:rPr>
        <w:t xml:space="preserve">Observation </w:t>
      </w:r>
      <w:r w:rsidRPr="004C7AE3">
        <w:rPr>
          <w:b/>
          <w:noProof/>
        </w:rPr>
        <w:t>9</w:t>
      </w:r>
      <w:r w:rsidRPr="004C7AE3">
        <w:rPr>
          <w:b/>
        </w:rPr>
        <w:t>: According to the current definition of RSSI in LTE, the reported RSSI value scales with the number or PRBs which is completely up to UE implementation.</w:t>
      </w:r>
      <w:r w:rsidRPr="004C7AE3">
        <w:rPr>
          <w:b/>
        </w:rPr>
        <w:fldChar w:fldCharType="end"/>
      </w:r>
    </w:p>
    <w:p w:rsidR="004C7AE3" w:rsidRPr="004C7AE3" w:rsidRDefault="004C7AE3" w:rsidP="00BD4808">
      <w:pPr>
        <w:rPr>
          <w:b/>
        </w:rPr>
      </w:pPr>
      <w:r w:rsidRPr="004C7AE3">
        <w:rPr>
          <w:b/>
        </w:rPr>
        <w:fldChar w:fldCharType="begin"/>
      </w:r>
      <w:r w:rsidRPr="004C7AE3">
        <w:rPr>
          <w:b/>
        </w:rPr>
        <w:instrText xml:space="preserve"> REF _Ref16919185 \h </w:instrText>
      </w:r>
      <w:r w:rsidRPr="004C7AE3">
        <w:rPr>
          <w:b/>
        </w:rPr>
      </w:r>
      <w:r>
        <w:rPr>
          <w:b/>
        </w:rPr>
        <w:instrText xml:space="preserve"> \* MERGEFORMAT </w:instrText>
      </w:r>
      <w:r w:rsidRPr="004C7AE3">
        <w:rPr>
          <w:b/>
        </w:rPr>
        <w:fldChar w:fldCharType="separate"/>
      </w:r>
      <w:r w:rsidRPr="004C7AE3">
        <w:rPr>
          <w:b/>
        </w:rPr>
        <w:t xml:space="preserve">Observation </w:t>
      </w:r>
      <w:r w:rsidRPr="004C7AE3">
        <w:rPr>
          <w:b/>
          <w:noProof/>
        </w:rPr>
        <w:t>10</w:t>
      </w:r>
      <w:r w:rsidRPr="004C7AE3">
        <w:rPr>
          <w:b/>
        </w:rPr>
        <w:t xml:space="preserve">: The uncertainty in number of PRBs used for RSSI measurement makes the reported RSSI, </w:t>
      </w:r>
      <w:proofErr w:type="spellStart"/>
      <w:r w:rsidRPr="004C7AE3">
        <w:rPr>
          <w:b/>
        </w:rPr>
        <w:t>channelOccupancy</w:t>
      </w:r>
      <w:proofErr w:type="spellEnd"/>
      <w:r w:rsidRPr="004C7AE3">
        <w:rPr>
          <w:b/>
        </w:rPr>
        <w:t xml:space="preserve"> and </w:t>
      </w:r>
      <w:proofErr w:type="spellStart"/>
      <w:r w:rsidRPr="004C7AE3">
        <w:rPr>
          <w:b/>
        </w:rPr>
        <w:t>threshS</w:t>
      </w:r>
      <w:proofErr w:type="spellEnd"/>
      <w:r w:rsidRPr="004C7AE3">
        <w:rPr>
          <w:b/>
        </w:rPr>
        <w:t>-RSSI-CBR difficult to be used by network.</w:t>
      </w:r>
      <w:r w:rsidRPr="004C7AE3">
        <w:rPr>
          <w:b/>
        </w:rPr>
        <w:fldChar w:fldCharType="end"/>
      </w:r>
    </w:p>
    <w:p w:rsidR="004C7AE3" w:rsidRDefault="004C7AE3" w:rsidP="00BD4808"/>
    <w:p w:rsidR="006F1C12" w:rsidRDefault="006F1C12" w:rsidP="00BD4808">
      <w:r>
        <w:t>And we make the following proposals.</w:t>
      </w:r>
    </w:p>
    <w:p w:rsidR="004C7AE3" w:rsidRPr="004C7AE3" w:rsidRDefault="004C7AE3" w:rsidP="00BD4808">
      <w:pPr>
        <w:rPr>
          <w:b/>
        </w:rPr>
      </w:pPr>
      <w:r w:rsidRPr="004C7AE3">
        <w:rPr>
          <w:b/>
        </w:rPr>
        <w:fldChar w:fldCharType="begin"/>
      </w:r>
      <w:r w:rsidRPr="004C7AE3">
        <w:rPr>
          <w:b/>
        </w:rPr>
        <w:instrText xml:space="preserve"> REF _Ref21422769 \h </w:instrText>
      </w:r>
      <w:r w:rsidRPr="004C7AE3">
        <w:rPr>
          <w:b/>
        </w:rPr>
      </w:r>
      <w:r w:rsidRPr="004C7AE3">
        <w:rPr>
          <w:b/>
        </w:rPr>
        <w:instrText xml:space="preserve"> \* MERGEFORMAT </w:instrText>
      </w:r>
      <w:r w:rsidRPr="004C7AE3">
        <w:rPr>
          <w:b/>
        </w:rPr>
        <w:fldChar w:fldCharType="separate"/>
      </w:r>
      <w:r w:rsidRPr="004C7AE3">
        <w:rPr>
          <w:b/>
        </w:rPr>
        <w:t xml:space="preserve">Proposal </w:t>
      </w:r>
      <w:r w:rsidRPr="004C7AE3">
        <w:rPr>
          <w:b/>
          <w:noProof/>
        </w:rPr>
        <w:t>1</w:t>
      </w:r>
      <w:r w:rsidRPr="004C7AE3">
        <w:rPr>
          <w:b/>
        </w:rPr>
        <w:t>: Support Q</w:t>
      </w:r>
      <w:proofErr w:type="gramStart"/>
      <w:r w:rsidRPr="004C7AE3">
        <w:rPr>
          <w:b/>
        </w:rPr>
        <w:t>={</w:t>
      </w:r>
      <w:proofErr w:type="gramEnd"/>
      <w:r w:rsidRPr="004C7AE3">
        <w:rPr>
          <w:b/>
        </w:rPr>
        <w:t>1, 4} for SCS=15kHz and Q={2, 8} for SCS=30kHz.</w:t>
      </w:r>
      <w:r w:rsidRPr="004C7AE3">
        <w:rPr>
          <w:b/>
        </w:rPr>
        <w:fldChar w:fldCharType="end"/>
      </w:r>
    </w:p>
    <w:p w:rsidR="004C7AE3" w:rsidRPr="004C7AE3" w:rsidRDefault="004C7AE3" w:rsidP="00BD4808">
      <w:pPr>
        <w:rPr>
          <w:b/>
        </w:rPr>
      </w:pPr>
      <w:r w:rsidRPr="004C7AE3">
        <w:rPr>
          <w:b/>
        </w:rPr>
        <w:fldChar w:fldCharType="begin"/>
      </w:r>
      <w:r w:rsidRPr="004C7AE3">
        <w:rPr>
          <w:b/>
        </w:rPr>
        <w:instrText xml:space="preserve"> REF _Ref21422777 \h </w:instrText>
      </w:r>
      <w:r w:rsidRPr="004C7AE3">
        <w:rPr>
          <w:b/>
        </w:rPr>
      </w:r>
      <w:r w:rsidRPr="004C7AE3">
        <w:rPr>
          <w:b/>
        </w:rPr>
        <w:instrText xml:space="preserve"> \* MERGEFORMAT </w:instrText>
      </w:r>
      <w:r w:rsidRPr="004C7AE3">
        <w:rPr>
          <w:b/>
        </w:rPr>
        <w:fldChar w:fldCharType="separate"/>
      </w:r>
      <w:r w:rsidRPr="004C7AE3">
        <w:rPr>
          <w:b/>
        </w:rPr>
        <w:t xml:space="preserve">Proposal </w:t>
      </w:r>
      <w:r w:rsidRPr="004C7AE3">
        <w:rPr>
          <w:b/>
          <w:noProof/>
        </w:rPr>
        <w:t>2</w:t>
      </w:r>
      <w:r w:rsidRPr="004C7AE3">
        <w:rPr>
          <w:b/>
        </w:rPr>
        <w:t>: The one-bit Q value is carried by PBCH instead of RMSI.</w:t>
      </w:r>
      <w:r w:rsidRPr="004C7AE3">
        <w:rPr>
          <w:b/>
        </w:rPr>
        <w:fldChar w:fldCharType="end"/>
      </w:r>
    </w:p>
    <w:p w:rsidR="004C7AE3" w:rsidRPr="004C7AE3" w:rsidRDefault="004C7AE3" w:rsidP="00BD4808">
      <w:pPr>
        <w:rPr>
          <w:b/>
        </w:rPr>
      </w:pPr>
      <w:r w:rsidRPr="004C7AE3">
        <w:rPr>
          <w:b/>
        </w:rPr>
        <w:fldChar w:fldCharType="begin"/>
      </w:r>
      <w:r w:rsidRPr="004C7AE3">
        <w:rPr>
          <w:b/>
        </w:rPr>
        <w:instrText xml:space="preserve"> REF _Ref21422784 \h </w:instrText>
      </w:r>
      <w:r w:rsidRPr="004C7AE3">
        <w:rPr>
          <w:b/>
        </w:rPr>
      </w:r>
      <w:r w:rsidRPr="004C7AE3">
        <w:rPr>
          <w:b/>
        </w:rPr>
        <w:instrText xml:space="preserve"> \* MERGEFORMAT </w:instrText>
      </w:r>
      <w:r w:rsidRPr="004C7AE3">
        <w:rPr>
          <w:b/>
        </w:rPr>
        <w:fldChar w:fldCharType="separate"/>
      </w:r>
      <w:r w:rsidRPr="004C7AE3">
        <w:rPr>
          <w:b/>
        </w:rPr>
        <w:t xml:space="preserve">Proposal </w:t>
      </w:r>
      <w:r w:rsidRPr="004C7AE3">
        <w:rPr>
          <w:b/>
          <w:noProof/>
        </w:rPr>
        <w:t>3</w:t>
      </w:r>
      <w:r w:rsidRPr="004C7AE3">
        <w:rPr>
          <w:b/>
        </w:rPr>
        <w:t xml:space="preserve">: </w:t>
      </w:r>
      <w:r w:rsidRPr="004C7AE3">
        <w:rPr>
          <w:b/>
        </w:rPr>
        <w:t>For RRM measurement, Q is carrier-specific i.e. a same Q va</w:t>
      </w:r>
      <w:r w:rsidRPr="004C7AE3">
        <w:rPr>
          <w:b/>
        </w:rPr>
        <w:t>lue for cells on a same carrier</w:t>
      </w:r>
      <w:r w:rsidRPr="004C7AE3">
        <w:rPr>
          <w:b/>
        </w:rPr>
        <w:t>.</w:t>
      </w:r>
      <w:r w:rsidRPr="004C7AE3">
        <w:rPr>
          <w:b/>
        </w:rPr>
        <w:fldChar w:fldCharType="end"/>
      </w:r>
    </w:p>
    <w:p w:rsidR="004C7AE3" w:rsidRPr="004C7AE3" w:rsidRDefault="004C7AE3" w:rsidP="00BD4808">
      <w:pPr>
        <w:rPr>
          <w:b/>
        </w:rPr>
      </w:pPr>
      <w:r w:rsidRPr="004C7AE3">
        <w:rPr>
          <w:b/>
        </w:rPr>
        <w:fldChar w:fldCharType="begin"/>
      </w:r>
      <w:r w:rsidRPr="004C7AE3">
        <w:rPr>
          <w:b/>
        </w:rPr>
        <w:instrText xml:space="preserve"> REF _Ref21422791 \h </w:instrText>
      </w:r>
      <w:r w:rsidRPr="004C7AE3">
        <w:rPr>
          <w:b/>
        </w:rPr>
      </w:r>
      <w:r w:rsidRPr="004C7AE3">
        <w:rPr>
          <w:b/>
        </w:rPr>
        <w:instrText xml:space="preserve"> \* MERGEFORMAT </w:instrText>
      </w:r>
      <w:r w:rsidRPr="004C7AE3">
        <w:rPr>
          <w:b/>
        </w:rPr>
        <w:fldChar w:fldCharType="separate"/>
      </w:r>
      <w:r w:rsidRPr="004C7AE3">
        <w:rPr>
          <w:b/>
        </w:rPr>
        <w:t xml:space="preserve">Proposal </w:t>
      </w:r>
      <w:r w:rsidRPr="004C7AE3">
        <w:rPr>
          <w:b/>
          <w:noProof/>
        </w:rPr>
        <w:t>4</w:t>
      </w:r>
      <w:r w:rsidRPr="004C7AE3">
        <w:rPr>
          <w:b/>
        </w:rPr>
        <w:t xml:space="preserve">: For RRM measurement of </w:t>
      </w:r>
      <w:r w:rsidRPr="004C7AE3">
        <w:rPr>
          <w:b/>
        </w:rPr>
        <w:t>neighboring cell</w:t>
      </w:r>
      <w:r w:rsidRPr="004C7AE3">
        <w:rPr>
          <w:b/>
        </w:rPr>
        <w:t>s, Q is indicated to UE by RRC signaling.</w:t>
      </w:r>
      <w:r w:rsidRPr="004C7AE3">
        <w:rPr>
          <w:b/>
        </w:rPr>
        <w:fldChar w:fldCharType="end"/>
      </w:r>
    </w:p>
    <w:p w:rsidR="004C7AE3" w:rsidRPr="004C7AE3" w:rsidRDefault="004C7AE3" w:rsidP="00BD4808">
      <w:pPr>
        <w:rPr>
          <w:b/>
        </w:rPr>
      </w:pPr>
      <w:r w:rsidRPr="004C7AE3">
        <w:rPr>
          <w:b/>
        </w:rPr>
        <w:fldChar w:fldCharType="begin"/>
      </w:r>
      <w:r w:rsidRPr="004C7AE3">
        <w:rPr>
          <w:b/>
        </w:rPr>
        <w:instrText xml:space="preserve"> REF _Ref7697542 \h </w:instrText>
      </w:r>
      <w:r w:rsidRPr="004C7AE3">
        <w:rPr>
          <w:b/>
        </w:rPr>
      </w:r>
      <w:r w:rsidRPr="004C7AE3">
        <w:rPr>
          <w:b/>
        </w:rPr>
        <w:instrText xml:space="preserve"> \* MERGEFORMAT </w:instrText>
      </w:r>
      <w:r w:rsidRPr="004C7AE3">
        <w:rPr>
          <w:b/>
        </w:rPr>
        <w:fldChar w:fldCharType="separate"/>
      </w:r>
      <w:r w:rsidRPr="004C7AE3">
        <w:rPr>
          <w:b/>
        </w:rPr>
        <w:t xml:space="preserve">Proposal </w:t>
      </w:r>
      <w:r w:rsidRPr="004C7AE3">
        <w:rPr>
          <w:b/>
          <w:noProof/>
        </w:rPr>
        <w:t>5</w:t>
      </w:r>
      <w:r w:rsidRPr="004C7AE3">
        <w:rPr>
          <w:b/>
        </w:rPr>
        <w:t>: Similar to NR, NR-U supports that both CORESET and search space configurations for Type-0 PDCCH are carried by PBCH.</w:t>
      </w:r>
      <w:r w:rsidRPr="004C7AE3">
        <w:rPr>
          <w:b/>
        </w:rPr>
        <w:fldChar w:fldCharType="end"/>
      </w:r>
    </w:p>
    <w:p w:rsidR="004C7AE3" w:rsidRPr="004C7AE3" w:rsidRDefault="004C7AE3" w:rsidP="00BD4808">
      <w:pPr>
        <w:rPr>
          <w:b/>
        </w:rPr>
      </w:pPr>
      <w:r w:rsidRPr="004C7AE3">
        <w:rPr>
          <w:b/>
        </w:rPr>
        <w:fldChar w:fldCharType="begin"/>
      </w:r>
      <w:r w:rsidRPr="004C7AE3">
        <w:rPr>
          <w:b/>
        </w:rPr>
        <w:instrText xml:space="preserve"> REF _Ref21419961 \h </w:instrText>
      </w:r>
      <w:r w:rsidRPr="004C7AE3">
        <w:rPr>
          <w:b/>
        </w:rPr>
      </w:r>
      <w:r w:rsidRPr="004C7AE3">
        <w:rPr>
          <w:b/>
        </w:rPr>
        <w:instrText xml:space="preserve"> \* MERGEFORMAT </w:instrText>
      </w:r>
      <w:r w:rsidRPr="004C7AE3">
        <w:rPr>
          <w:b/>
        </w:rPr>
        <w:fldChar w:fldCharType="separate"/>
      </w:r>
      <w:r w:rsidRPr="004C7AE3">
        <w:rPr>
          <w:b/>
        </w:rPr>
        <w:t xml:space="preserve">Proposal </w:t>
      </w:r>
      <w:r w:rsidRPr="004C7AE3">
        <w:rPr>
          <w:b/>
          <w:noProof/>
        </w:rPr>
        <w:t>6</w:t>
      </w:r>
      <w:r w:rsidRPr="004C7AE3">
        <w:rPr>
          <w:b/>
        </w:rPr>
        <w:t>: For each subcarrier spacing</w:t>
      </w:r>
      <w:r w:rsidRPr="004C7AE3">
        <w:rPr>
          <w:b/>
          <w:color w:val="000000" w:themeColor="text1"/>
        </w:rPr>
        <w:t>, support only one single value for the PRB offset between CORESET#0 and SSB in Type0-PDCCH CORESET configuration.</w:t>
      </w:r>
      <w:r w:rsidRPr="004C7AE3">
        <w:rPr>
          <w:b/>
        </w:rPr>
        <w:fldChar w:fldCharType="end"/>
      </w:r>
    </w:p>
    <w:p w:rsidR="004C7AE3" w:rsidRPr="004C7AE3" w:rsidRDefault="004C7AE3" w:rsidP="00BD4808">
      <w:pPr>
        <w:rPr>
          <w:b/>
        </w:rPr>
      </w:pPr>
      <w:r w:rsidRPr="004C7AE3">
        <w:rPr>
          <w:b/>
        </w:rPr>
        <w:fldChar w:fldCharType="begin"/>
      </w:r>
      <w:r w:rsidRPr="004C7AE3">
        <w:rPr>
          <w:b/>
        </w:rPr>
        <w:instrText xml:space="preserve"> REF _Ref21420210 \h </w:instrText>
      </w:r>
      <w:r w:rsidRPr="004C7AE3">
        <w:rPr>
          <w:b/>
        </w:rPr>
      </w:r>
      <w:r w:rsidRPr="004C7AE3">
        <w:rPr>
          <w:b/>
        </w:rPr>
        <w:instrText xml:space="preserve"> \* MERGEFORMAT </w:instrText>
      </w:r>
      <w:r w:rsidRPr="004C7AE3">
        <w:rPr>
          <w:b/>
        </w:rPr>
        <w:fldChar w:fldCharType="separate"/>
      </w:r>
      <w:r w:rsidRPr="004C7AE3">
        <w:rPr>
          <w:b/>
        </w:rPr>
        <w:t xml:space="preserve">Proposal </w:t>
      </w:r>
      <w:r w:rsidRPr="004C7AE3">
        <w:rPr>
          <w:b/>
          <w:noProof/>
        </w:rPr>
        <w:t>7</w:t>
      </w:r>
      <w:r w:rsidRPr="004C7AE3">
        <w:rPr>
          <w:b/>
        </w:rPr>
        <w:t>: Use Table 13-11 in TS38.213 as a starting point for Type0-PDCCH search space configuration for NR-U.</w:t>
      </w:r>
      <w:r w:rsidRPr="004C7AE3">
        <w:rPr>
          <w:b/>
        </w:rPr>
        <w:fldChar w:fldCharType="end"/>
      </w:r>
    </w:p>
    <w:p w:rsidR="004C7AE3" w:rsidRPr="004C7AE3" w:rsidRDefault="004C7AE3" w:rsidP="00BD4808">
      <w:pPr>
        <w:rPr>
          <w:b/>
        </w:rPr>
      </w:pPr>
      <w:r w:rsidRPr="004C7AE3">
        <w:rPr>
          <w:b/>
        </w:rPr>
        <w:fldChar w:fldCharType="begin"/>
      </w:r>
      <w:r w:rsidRPr="004C7AE3">
        <w:rPr>
          <w:b/>
        </w:rPr>
        <w:instrText xml:space="preserve"> REF _Ref21420219 \h </w:instrText>
      </w:r>
      <w:r w:rsidRPr="004C7AE3">
        <w:rPr>
          <w:b/>
        </w:rPr>
      </w:r>
      <w:r w:rsidRPr="004C7AE3">
        <w:rPr>
          <w:b/>
        </w:rPr>
        <w:instrText xml:space="preserve"> \* MERGEFORMAT </w:instrText>
      </w:r>
      <w:r w:rsidRPr="004C7AE3">
        <w:rPr>
          <w:b/>
        </w:rPr>
        <w:fldChar w:fldCharType="separate"/>
      </w:r>
      <w:r w:rsidRPr="004C7AE3">
        <w:rPr>
          <w:b/>
        </w:rPr>
        <w:t xml:space="preserve">Proposal </w:t>
      </w:r>
      <w:r w:rsidRPr="004C7AE3">
        <w:rPr>
          <w:b/>
          <w:noProof/>
        </w:rPr>
        <w:t>8</w:t>
      </w:r>
      <w:r w:rsidRPr="004C7AE3">
        <w:rPr>
          <w:b/>
        </w:rPr>
        <w:t xml:space="preserve">: Support Table </w:t>
      </w:r>
      <w:r w:rsidRPr="004C7AE3">
        <w:rPr>
          <w:b/>
          <w:noProof/>
        </w:rPr>
        <w:t>1</w:t>
      </w:r>
      <w:r w:rsidRPr="004C7AE3">
        <w:rPr>
          <w:b/>
        </w:rPr>
        <w:t xml:space="preserve"> for space configuration for Type0-PDCCH in NR-U.</w:t>
      </w:r>
      <w:r w:rsidRPr="004C7AE3">
        <w:rPr>
          <w:b/>
        </w:rPr>
        <w:fldChar w:fldCharType="end"/>
      </w:r>
    </w:p>
    <w:p w:rsidR="004C7AE3" w:rsidRPr="004C7AE3" w:rsidRDefault="004C7AE3" w:rsidP="00BD4808">
      <w:pPr>
        <w:rPr>
          <w:b/>
        </w:rPr>
      </w:pPr>
      <w:r w:rsidRPr="004C7AE3">
        <w:rPr>
          <w:b/>
        </w:rPr>
        <w:fldChar w:fldCharType="begin"/>
      </w:r>
      <w:r w:rsidRPr="004C7AE3">
        <w:rPr>
          <w:b/>
        </w:rPr>
        <w:instrText xml:space="preserve"> REF _Ref16919286 \h </w:instrText>
      </w:r>
      <w:r w:rsidRPr="004C7AE3">
        <w:rPr>
          <w:b/>
        </w:rPr>
      </w:r>
      <w:r w:rsidRPr="004C7AE3">
        <w:rPr>
          <w:b/>
        </w:rPr>
        <w:instrText xml:space="preserve"> \* MERGEFORMAT </w:instrText>
      </w:r>
      <w:r w:rsidRPr="004C7AE3">
        <w:rPr>
          <w:b/>
        </w:rPr>
        <w:fldChar w:fldCharType="separate"/>
      </w:r>
      <w:r w:rsidRPr="004C7AE3">
        <w:rPr>
          <w:b/>
        </w:rPr>
        <w:t xml:space="preserve">Proposal </w:t>
      </w:r>
      <w:r w:rsidRPr="004C7AE3">
        <w:rPr>
          <w:b/>
          <w:noProof/>
        </w:rPr>
        <w:t>9</w:t>
      </w:r>
      <w:r w:rsidRPr="004C7AE3">
        <w:rPr>
          <w:b/>
        </w:rPr>
        <w:t>: RACH resource enhancement in frequency domain can be considered so that multiple RACH resources can be allocated across multiple LBT sub-bands/carriers.</w:t>
      </w:r>
      <w:r w:rsidRPr="004C7AE3">
        <w:rPr>
          <w:b/>
        </w:rPr>
        <w:fldChar w:fldCharType="end"/>
      </w:r>
    </w:p>
    <w:p w:rsidR="004C7AE3" w:rsidRPr="004C7AE3" w:rsidRDefault="004C7AE3" w:rsidP="00BD4808">
      <w:pPr>
        <w:rPr>
          <w:b/>
        </w:rPr>
      </w:pPr>
      <w:r w:rsidRPr="004C7AE3">
        <w:rPr>
          <w:b/>
        </w:rPr>
        <w:fldChar w:fldCharType="begin"/>
      </w:r>
      <w:r w:rsidRPr="004C7AE3">
        <w:rPr>
          <w:b/>
        </w:rPr>
        <w:instrText xml:space="preserve"> REF _Ref534989008 \h </w:instrText>
      </w:r>
      <w:r w:rsidRPr="004C7AE3">
        <w:rPr>
          <w:b/>
        </w:rPr>
      </w:r>
      <w:r w:rsidRPr="004C7AE3">
        <w:rPr>
          <w:b/>
        </w:rPr>
        <w:instrText xml:space="preserve"> \* MERGEFORMAT </w:instrText>
      </w:r>
      <w:r w:rsidRPr="004C7AE3">
        <w:rPr>
          <w:b/>
        </w:rPr>
        <w:fldChar w:fldCharType="separate"/>
      </w:r>
      <w:r w:rsidRPr="004C7AE3">
        <w:rPr>
          <w:b/>
        </w:rPr>
        <w:t xml:space="preserve">Proposal </w:t>
      </w:r>
      <w:r w:rsidRPr="004C7AE3">
        <w:rPr>
          <w:b/>
          <w:noProof/>
        </w:rPr>
        <w:t>10</w:t>
      </w:r>
      <w:r w:rsidRPr="004C7AE3">
        <w:rPr>
          <w:b/>
        </w:rPr>
        <w:t>: Scheduling of PRACH resources via DCI can be considered for NR-U.</w:t>
      </w:r>
      <w:r w:rsidRPr="004C7AE3">
        <w:rPr>
          <w:b/>
        </w:rPr>
        <w:fldChar w:fldCharType="end"/>
      </w:r>
    </w:p>
    <w:p w:rsidR="004C7AE3" w:rsidRPr="004C7AE3" w:rsidRDefault="004C7AE3" w:rsidP="00BD4808">
      <w:pPr>
        <w:rPr>
          <w:b/>
        </w:rPr>
      </w:pPr>
      <w:r w:rsidRPr="004C7AE3">
        <w:rPr>
          <w:b/>
        </w:rPr>
        <w:fldChar w:fldCharType="begin"/>
      </w:r>
      <w:r w:rsidRPr="004C7AE3">
        <w:rPr>
          <w:b/>
        </w:rPr>
        <w:instrText xml:space="preserve"> REF _Ref534989014 \h </w:instrText>
      </w:r>
      <w:r w:rsidRPr="004C7AE3">
        <w:rPr>
          <w:b/>
        </w:rPr>
      </w:r>
      <w:r w:rsidRPr="004C7AE3">
        <w:rPr>
          <w:b/>
        </w:rPr>
        <w:instrText xml:space="preserve"> \* MERGEFORMAT </w:instrText>
      </w:r>
      <w:r w:rsidRPr="004C7AE3">
        <w:rPr>
          <w:b/>
        </w:rPr>
        <w:fldChar w:fldCharType="separate"/>
      </w:r>
      <w:r w:rsidRPr="004C7AE3">
        <w:rPr>
          <w:b/>
        </w:rPr>
        <w:t xml:space="preserve">Proposal </w:t>
      </w:r>
      <w:r w:rsidRPr="004C7AE3">
        <w:rPr>
          <w:b/>
          <w:noProof/>
        </w:rPr>
        <w:t>11</w:t>
      </w:r>
      <w:r w:rsidRPr="004C7AE3">
        <w:rPr>
          <w:b/>
        </w:rPr>
        <w:t>: Scheduling of PRACH resources via paging for idle mode UEs shall not be supported in NR-U.</w:t>
      </w:r>
      <w:r w:rsidRPr="004C7AE3">
        <w:rPr>
          <w:b/>
        </w:rPr>
        <w:fldChar w:fldCharType="end"/>
      </w:r>
    </w:p>
    <w:p w:rsidR="004C7AE3" w:rsidRPr="004C7AE3" w:rsidRDefault="004C7AE3" w:rsidP="00BD4808">
      <w:pPr>
        <w:rPr>
          <w:b/>
        </w:rPr>
      </w:pPr>
      <w:r w:rsidRPr="004C7AE3">
        <w:rPr>
          <w:b/>
        </w:rPr>
        <w:fldChar w:fldCharType="begin"/>
      </w:r>
      <w:r w:rsidRPr="004C7AE3">
        <w:rPr>
          <w:b/>
        </w:rPr>
        <w:instrText xml:space="preserve"> REF _Ref534989020 \h </w:instrText>
      </w:r>
      <w:r w:rsidRPr="004C7AE3">
        <w:rPr>
          <w:b/>
        </w:rPr>
      </w:r>
      <w:r w:rsidRPr="004C7AE3">
        <w:rPr>
          <w:b/>
        </w:rPr>
        <w:instrText xml:space="preserve"> \* MERGEFORMAT </w:instrText>
      </w:r>
      <w:r w:rsidRPr="004C7AE3">
        <w:rPr>
          <w:b/>
        </w:rPr>
        <w:fldChar w:fldCharType="separate"/>
      </w:r>
      <w:r w:rsidRPr="004C7AE3">
        <w:rPr>
          <w:b/>
        </w:rPr>
        <w:t xml:space="preserve">Proposal </w:t>
      </w:r>
      <w:r w:rsidRPr="004C7AE3">
        <w:rPr>
          <w:b/>
          <w:noProof/>
        </w:rPr>
        <w:t>12</w:t>
      </w:r>
      <w:r w:rsidRPr="004C7AE3">
        <w:rPr>
          <w:b/>
        </w:rPr>
        <w:t>: Allocating additional RACH resources immediately following DRS transmission can be considered in NR-U.</w:t>
      </w:r>
      <w:r w:rsidRPr="004C7AE3">
        <w:rPr>
          <w:b/>
        </w:rPr>
        <w:fldChar w:fldCharType="end"/>
      </w:r>
    </w:p>
    <w:p w:rsidR="004C7AE3" w:rsidRPr="004C7AE3" w:rsidRDefault="004C7AE3" w:rsidP="00BD4808">
      <w:pPr>
        <w:rPr>
          <w:b/>
        </w:rPr>
      </w:pPr>
      <w:r w:rsidRPr="004C7AE3">
        <w:rPr>
          <w:b/>
        </w:rPr>
        <w:fldChar w:fldCharType="begin"/>
      </w:r>
      <w:r w:rsidRPr="004C7AE3">
        <w:rPr>
          <w:b/>
        </w:rPr>
        <w:instrText xml:space="preserve"> REF _Ref534989025 \h </w:instrText>
      </w:r>
      <w:r w:rsidRPr="004C7AE3">
        <w:rPr>
          <w:b/>
        </w:rPr>
      </w:r>
      <w:r w:rsidRPr="004C7AE3">
        <w:rPr>
          <w:b/>
        </w:rPr>
        <w:instrText xml:space="preserve"> \* MERGEFORMAT </w:instrText>
      </w:r>
      <w:r w:rsidRPr="004C7AE3">
        <w:rPr>
          <w:b/>
        </w:rPr>
        <w:fldChar w:fldCharType="separate"/>
      </w:r>
      <w:r w:rsidRPr="004C7AE3">
        <w:rPr>
          <w:b/>
        </w:rPr>
        <w:t xml:space="preserve">Proposal </w:t>
      </w:r>
      <w:r w:rsidRPr="004C7AE3">
        <w:rPr>
          <w:b/>
          <w:noProof/>
        </w:rPr>
        <w:t>13</w:t>
      </w:r>
      <w:r w:rsidRPr="004C7AE3">
        <w:rPr>
          <w:b/>
        </w:rPr>
        <w:t>:  Multiple PRACH transmissions before Msg2 reception in RAR window shall not be supported in NR-U.</w:t>
      </w:r>
      <w:r w:rsidRPr="004C7AE3">
        <w:rPr>
          <w:b/>
        </w:rPr>
        <w:fldChar w:fldCharType="end"/>
      </w:r>
    </w:p>
    <w:p w:rsidR="004C7AE3" w:rsidRPr="004C7AE3" w:rsidRDefault="004C7AE3" w:rsidP="00BD4808">
      <w:pPr>
        <w:rPr>
          <w:b/>
        </w:rPr>
      </w:pPr>
      <w:r w:rsidRPr="004C7AE3">
        <w:rPr>
          <w:b/>
        </w:rPr>
        <w:fldChar w:fldCharType="begin"/>
      </w:r>
      <w:r w:rsidRPr="004C7AE3">
        <w:rPr>
          <w:b/>
        </w:rPr>
        <w:instrText xml:space="preserve"> REF _Ref534989056 \h </w:instrText>
      </w:r>
      <w:r w:rsidRPr="004C7AE3">
        <w:rPr>
          <w:b/>
        </w:rPr>
      </w:r>
      <w:r w:rsidRPr="004C7AE3">
        <w:rPr>
          <w:b/>
        </w:rPr>
        <w:instrText xml:space="preserve"> \* MERGEFORMAT </w:instrText>
      </w:r>
      <w:r w:rsidRPr="004C7AE3">
        <w:rPr>
          <w:b/>
        </w:rPr>
        <w:fldChar w:fldCharType="separate"/>
      </w:r>
      <w:r w:rsidRPr="004C7AE3">
        <w:rPr>
          <w:b/>
        </w:rPr>
        <w:t xml:space="preserve">Proposal </w:t>
      </w:r>
      <w:r w:rsidRPr="004C7AE3">
        <w:rPr>
          <w:b/>
          <w:noProof/>
        </w:rPr>
        <w:t>14</w:t>
      </w:r>
      <w:r w:rsidRPr="004C7AE3">
        <w:rPr>
          <w:b/>
        </w:rPr>
        <w:t>: In NR-U, the validation of a RACH occasion should depend on the positions of the configured DMTC window.</w:t>
      </w:r>
      <w:r w:rsidRPr="004C7AE3">
        <w:rPr>
          <w:b/>
        </w:rPr>
        <w:fldChar w:fldCharType="end"/>
      </w:r>
    </w:p>
    <w:p w:rsidR="004C7AE3" w:rsidRPr="004C7AE3" w:rsidRDefault="004C7AE3" w:rsidP="00BD4808">
      <w:pPr>
        <w:rPr>
          <w:b/>
        </w:rPr>
      </w:pPr>
      <w:r w:rsidRPr="004C7AE3">
        <w:rPr>
          <w:b/>
        </w:rPr>
        <w:fldChar w:fldCharType="begin"/>
      </w:r>
      <w:r w:rsidRPr="004C7AE3">
        <w:rPr>
          <w:b/>
        </w:rPr>
        <w:instrText xml:space="preserve"> REF _Ref534989062 \h </w:instrText>
      </w:r>
      <w:r w:rsidRPr="004C7AE3">
        <w:rPr>
          <w:b/>
        </w:rPr>
      </w:r>
      <w:r w:rsidRPr="004C7AE3">
        <w:rPr>
          <w:b/>
        </w:rPr>
        <w:instrText xml:space="preserve"> \* MERGEFORMAT </w:instrText>
      </w:r>
      <w:r w:rsidRPr="004C7AE3">
        <w:rPr>
          <w:b/>
        </w:rPr>
        <w:fldChar w:fldCharType="separate"/>
      </w:r>
      <w:r w:rsidRPr="004C7AE3">
        <w:rPr>
          <w:b/>
        </w:rPr>
        <w:t xml:space="preserve">Proposal </w:t>
      </w:r>
      <w:r w:rsidRPr="004C7AE3">
        <w:rPr>
          <w:b/>
          <w:noProof/>
        </w:rPr>
        <w:t>15</w:t>
      </w:r>
      <w:r w:rsidRPr="004C7AE3">
        <w:rPr>
          <w:b/>
        </w:rPr>
        <w:t>: The UE detects excessive LBT failures for RA preamble transmissions by using a timer or a counter mechanism. Upon detection, the UE takes the same actions as when the PREAMBLE_TRANSMISSION_COUNTER exceeds its maximum value.</w:t>
      </w:r>
      <w:r w:rsidRPr="004C7AE3">
        <w:rPr>
          <w:b/>
        </w:rPr>
        <w:fldChar w:fldCharType="end"/>
      </w:r>
    </w:p>
    <w:p w:rsidR="004C7AE3" w:rsidRPr="004C7AE3" w:rsidRDefault="004C7AE3" w:rsidP="00BD4808">
      <w:pPr>
        <w:rPr>
          <w:b/>
        </w:rPr>
      </w:pPr>
      <w:r w:rsidRPr="004C7AE3">
        <w:rPr>
          <w:b/>
        </w:rPr>
        <w:fldChar w:fldCharType="begin"/>
      </w:r>
      <w:r w:rsidRPr="004C7AE3">
        <w:rPr>
          <w:b/>
        </w:rPr>
        <w:instrText xml:space="preserve"> REF _Ref534989067 \h </w:instrText>
      </w:r>
      <w:r w:rsidRPr="004C7AE3">
        <w:rPr>
          <w:b/>
        </w:rPr>
      </w:r>
      <w:r w:rsidRPr="004C7AE3">
        <w:rPr>
          <w:b/>
        </w:rPr>
        <w:instrText xml:space="preserve"> \* MERGEFORMAT </w:instrText>
      </w:r>
      <w:r w:rsidRPr="004C7AE3">
        <w:rPr>
          <w:b/>
        </w:rPr>
        <w:fldChar w:fldCharType="separate"/>
      </w:r>
      <w:r w:rsidRPr="004C7AE3">
        <w:rPr>
          <w:b/>
        </w:rPr>
        <w:t xml:space="preserve">Proposal </w:t>
      </w:r>
      <w:r w:rsidRPr="004C7AE3">
        <w:rPr>
          <w:b/>
          <w:noProof/>
        </w:rPr>
        <w:t>16</w:t>
      </w:r>
      <w:r w:rsidRPr="004C7AE3">
        <w:rPr>
          <w:b/>
        </w:rPr>
        <w:t xml:space="preserve">: The UE detects excessive LBT failures for msg3 transmissions by using a timer or a counter mechanism. If LBT fails for msg3, the UE takes the same actions as the </w:t>
      </w:r>
      <w:proofErr w:type="spellStart"/>
      <w:r w:rsidRPr="004C7AE3">
        <w:rPr>
          <w:b/>
        </w:rPr>
        <w:t>ra-ContentionResolutionTimer</w:t>
      </w:r>
      <w:proofErr w:type="spellEnd"/>
      <w:r w:rsidRPr="004C7AE3">
        <w:rPr>
          <w:b/>
        </w:rPr>
        <w:t xml:space="preserve"> expiry.</w:t>
      </w:r>
      <w:r w:rsidRPr="004C7AE3">
        <w:rPr>
          <w:b/>
        </w:rPr>
        <w:fldChar w:fldCharType="end"/>
      </w:r>
    </w:p>
    <w:p w:rsidR="004C7AE3" w:rsidRPr="004C7AE3" w:rsidRDefault="004C7AE3" w:rsidP="00BD4808">
      <w:pPr>
        <w:rPr>
          <w:b/>
        </w:rPr>
      </w:pPr>
      <w:r w:rsidRPr="004C7AE3">
        <w:rPr>
          <w:b/>
        </w:rPr>
        <w:fldChar w:fldCharType="begin"/>
      </w:r>
      <w:r w:rsidRPr="004C7AE3">
        <w:rPr>
          <w:b/>
        </w:rPr>
        <w:instrText xml:space="preserve"> REF _Ref16919362 \h </w:instrText>
      </w:r>
      <w:r w:rsidRPr="004C7AE3">
        <w:rPr>
          <w:b/>
        </w:rPr>
      </w:r>
      <w:r w:rsidRPr="004C7AE3">
        <w:rPr>
          <w:b/>
        </w:rPr>
        <w:instrText xml:space="preserve"> \* MERGEFORMAT </w:instrText>
      </w:r>
      <w:r w:rsidRPr="004C7AE3">
        <w:rPr>
          <w:b/>
        </w:rPr>
        <w:fldChar w:fldCharType="separate"/>
      </w:r>
      <w:r w:rsidRPr="004C7AE3">
        <w:rPr>
          <w:b/>
        </w:rPr>
        <w:t xml:space="preserve">Proposal </w:t>
      </w:r>
      <w:r w:rsidRPr="004C7AE3">
        <w:rPr>
          <w:b/>
          <w:noProof/>
        </w:rPr>
        <w:t>17</w:t>
      </w:r>
      <w:r w:rsidRPr="004C7AE3">
        <w:rPr>
          <w:b/>
        </w:rPr>
        <w:t>: Discuss whether to extend the functionality of RLM/RRM in NR-U to reflect not only link quality but also link availability. If yes, how?</w:t>
      </w:r>
      <w:r w:rsidRPr="004C7AE3">
        <w:rPr>
          <w:b/>
        </w:rPr>
        <w:fldChar w:fldCharType="end"/>
      </w:r>
    </w:p>
    <w:p w:rsidR="004C7AE3" w:rsidRPr="004C7AE3" w:rsidRDefault="004C7AE3" w:rsidP="00BD4808">
      <w:pPr>
        <w:rPr>
          <w:b/>
        </w:rPr>
      </w:pPr>
      <w:r w:rsidRPr="004C7AE3">
        <w:rPr>
          <w:b/>
        </w:rPr>
        <w:fldChar w:fldCharType="begin"/>
      </w:r>
      <w:r w:rsidRPr="004C7AE3">
        <w:rPr>
          <w:b/>
        </w:rPr>
        <w:instrText xml:space="preserve"> REF _Ref16919388 \h </w:instrText>
      </w:r>
      <w:r w:rsidRPr="004C7AE3">
        <w:rPr>
          <w:b/>
        </w:rPr>
      </w:r>
      <w:r w:rsidRPr="004C7AE3">
        <w:rPr>
          <w:b/>
        </w:rPr>
        <w:instrText xml:space="preserve"> \* MERGEFORMAT </w:instrText>
      </w:r>
      <w:r w:rsidRPr="004C7AE3">
        <w:rPr>
          <w:b/>
        </w:rPr>
        <w:fldChar w:fldCharType="separate"/>
      </w:r>
      <w:r w:rsidRPr="004C7AE3">
        <w:rPr>
          <w:b/>
        </w:rPr>
        <w:t xml:space="preserve">Proposal </w:t>
      </w:r>
      <w:r w:rsidRPr="004C7AE3">
        <w:rPr>
          <w:b/>
          <w:noProof/>
        </w:rPr>
        <w:t>18</w:t>
      </w:r>
      <w:r w:rsidRPr="004C7AE3">
        <w:rPr>
          <w:b/>
        </w:rPr>
        <w:t>: Discuss whether it is feasible for UE to distinguish between missing RS due to LBT failure and not detecting RS due to bad link condition.</w:t>
      </w:r>
      <w:r w:rsidRPr="004C7AE3">
        <w:rPr>
          <w:b/>
        </w:rPr>
        <w:fldChar w:fldCharType="end"/>
      </w:r>
    </w:p>
    <w:p w:rsidR="004C7AE3" w:rsidRPr="004C7AE3" w:rsidRDefault="004C7AE3" w:rsidP="00BD4808">
      <w:pPr>
        <w:rPr>
          <w:b/>
        </w:rPr>
      </w:pPr>
      <w:r w:rsidRPr="004C7AE3">
        <w:rPr>
          <w:b/>
        </w:rPr>
        <w:br/>
      </w:r>
      <w:r w:rsidRPr="004C7AE3">
        <w:rPr>
          <w:b/>
        </w:rPr>
        <w:fldChar w:fldCharType="begin"/>
      </w:r>
      <w:r w:rsidRPr="004C7AE3">
        <w:rPr>
          <w:b/>
        </w:rPr>
        <w:instrText xml:space="preserve"> REF _Ref16919398 \h </w:instrText>
      </w:r>
      <w:r w:rsidRPr="004C7AE3">
        <w:rPr>
          <w:b/>
        </w:rPr>
      </w:r>
      <w:r w:rsidRPr="004C7AE3">
        <w:rPr>
          <w:b/>
        </w:rPr>
        <w:instrText xml:space="preserve"> \* MERGEFORMAT </w:instrText>
      </w:r>
      <w:r w:rsidRPr="004C7AE3">
        <w:rPr>
          <w:b/>
        </w:rPr>
        <w:fldChar w:fldCharType="separate"/>
      </w:r>
      <w:r w:rsidRPr="004C7AE3">
        <w:rPr>
          <w:b/>
        </w:rPr>
        <w:t xml:space="preserve">Proposal </w:t>
      </w:r>
      <w:r w:rsidRPr="004C7AE3">
        <w:rPr>
          <w:b/>
          <w:noProof/>
        </w:rPr>
        <w:t>19</w:t>
      </w:r>
      <w:r w:rsidRPr="004C7AE3">
        <w:rPr>
          <w:b/>
        </w:rPr>
        <w:t xml:space="preserve">: For SSB-based RLM in-sync evaluation, UE may use measurements from </w:t>
      </w:r>
      <w:r w:rsidRPr="004C7AE3">
        <w:rPr>
          <w:b/>
          <w:i/>
        </w:rPr>
        <w:t>only some</w:t>
      </w:r>
      <w:r w:rsidRPr="004C7AE3">
        <w:rPr>
          <w:b/>
        </w:rPr>
        <w:t xml:space="preserve"> of the DRS transmission windows within the evaluation period for L1 filtering.</w:t>
      </w:r>
      <w:r w:rsidRPr="004C7AE3">
        <w:rPr>
          <w:b/>
        </w:rPr>
        <w:fldChar w:fldCharType="end"/>
      </w:r>
    </w:p>
    <w:p w:rsidR="004C7AE3" w:rsidRPr="004C7AE3" w:rsidRDefault="004C7AE3" w:rsidP="00BD4808">
      <w:pPr>
        <w:rPr>
          <w:b/>
        </w:rPr>
      </w:pPr>
      <w:r w:rsidRPr="004C7AE3">
        <w:rPr>
          <w:b/>
        </w:rPr>
        <w:fldChar w:fldCharType="begin"/>
      </w:r>
      <w:r w:rsidRPr="004C7AE3">
        <w:rPr>
          <w:b/>
        </w:rPr>
        <w:instrText xml:space="preserve"> REF _Ref16919408 \h </w:instrText>
      </w:r>
      <w:r w:rsidRPr="004C7AE3">
        <w:rPr>
          <w:b/>
        </w:rPr>
      </w:r>
      <w:r w:rsidRPr="004C7AE3">
        <w:rPr>
          <w:b/>
        </w:rPr>
        <w:instrText xml:space="preserve"> \* MERGEFORMAT </w:instrText>
      </w:r>
      <w:r w:rsidRPr="004C7AE3">
        <w:rPr>
          <w:b/>
        </w:rPr>
        <w:fldChar w:fldCharType="separate"/>
      </w:r>
      <w:r w:rsidRPr="004C7AE3">
        <w:rPr>
          <w:b/>
        </w:rPr>
        <w:t xml:space="preserve">Proposal </w:t>
      </w:r>
      <w:r w:rsidRPr="004C7AE3">
        <w:rPr>
          <w:b/>
          <w:noProof/>
        </w:rPr>
        <w:t>20</w:t>
      </w:r>
      <w:r w:rsidRPr="004C7AE3">
        <w:rPr>
          <w:b/>
        </w:rPr>
        <w:t>: For SSB-based RLM out-of-sync evaluation, depending on whether or not it is feasible for UE to distinguish the two cases between DTX of SSB due to LBT failure and not detecting SSB due to bad link quality, we have the following proposals.</w:t>
      </w:r>
      <w:r w:rsidRPr="004C7AE3">
        <w:rPr>
          <w:b/>
        </w:rPr>
        <w:fldChar w:fldCharType="end"/>
      </w:r>
    </w:p>
    <w:p w:rsidR="004C7AE3" w:rsidRPr="004C7AE3" w:rsidRDefault="004C7AE3" w:rsidP="00BD4808">
      <w:pPr>
        <w:rPr>
          <w:b/>
        </w:rPr>
      </w:pPr>
      <w:r w:rsidRPr="004C7AE3">
        <w:rPr>
          <w:b/>
        </w:rPr>
        <w:lastRenderedPageBreak/>
        <w:fldChar w:fldCharType="begin"/>
      </w:r>
      <w:r w:rsidRPr="004C7AE3">
        <w:rPr>
          <w:b/>
        </w:rPr>
        <w:instrText xml:space="preserve"> REF _Ref16919422 \h </w:instrText>
      </w:r>
      <w:r w:rsidRPr="004C7AE3">
        <w:rPr>
          <w:b/>
        </w:rPr>
      </w:r>
      <w:r w:rsidRPr="004C7AE3">
        <w:rPr>
          <w:b/>
        </w:rPr>
        <w:instrText xml:space="preserve"> \* MERGEFORMAT </w:instrText>
      </w:r>
      <w:r w:rsidRPr="004C7AE3">
        <w:rPr>
          <w:b/>
        </w:rPr>
        <w:fldChar w:fldCharType="separate"/>
      </w:r>
      <w:r w:rsidRPr="004C7AE3">
        <w:rPr>
          <w:b/>
        </w:rPr>
        <w:t xml:space="preserve">Proposal </w:t>
      </w:r>
      <w:r w:rsidRPr="004C7AE3">
        <w:rPr>
          <w:b/>
          <w:noProof/>
        </w:rPr>
        <w:t>21</w:t>
      </w:r>
      <w:r w:rsidRPr="004C7AE3">
        <w:rPr>
          <w:b/>
        </w:rPr>
        <w:t>: The reported RSSI value is normalized by N, which is the number PRBs used by UE for measurement. The exact value of N should be up to UE’s implementation, as long as UE can fulfill RAN4’s requirement.</w:t>
      </w:r>
      <w:r w:rsidRPr="004C7AE3">
        <w:rPr>
          <w:b/>
        </w:rPr>
        <w:fldChar w:fldCharType="end"/>
      </w:r>
    </w:p>
    <w:p w:rsidR="004C7AE3" w:rsidRPr="004C7AE3" w:rsidRDefault="004C7AE3" w:rsidP="00BD4808">
      <w:pPr>
        <w:rPr>
          <w:b/>
        </w:rPr>
      </w:pPr>
      <w:r w:rsidRPr="004C7AE3">
        <w:rPr>
          <w:b/>
        </w:rPr>
        <w:fldChar w:fldCharType="begin"/>
      </w:r>
      <w:r w:rsidRPr="004C7AE3">
        <w:rPr>
          <w:b/>
        </w:rPr>
        <w:instrText xml:space="preserve"> REF _Ref21422940 \h </w:instrText>
      </w:r>
      <w:r w:rsidRPr="004C7AE3">
        <w:rPr>
          <w:b/>
        </w:rPr>
      </w:r>
      <w:r w:rsidRPr="004C7AE3">
        <w:rPr>
          <w:b/>
        </w:rPr>
        <w:instrText xml:space="preserve"> \* MERGEFORMAT </w:instrText>
      </w:r>
      <w:r w:rsidRPr="004C7AE3">
        <w:rPr>
          <w:b/>
        </w:rPr>
        <w:fldChar w:fldCharType="separate"/>
      </w:r>
      <w:r w:rsidRPr="004C7AE3">
        <w:rPr>
          <w:b/>
        </w:rPr>
        <w:t xml:space="preserve">Proposal </w:t>
      </w:r>
      <w:r w:rsidRPr="004C7AE3">
        <w:rPr>
          <w:b/>
          <w:noProof/>
        </w:rPr>
        <w:t>22</w:t>
      </w:r>
      <w:r w:rsidRPr="004C7AE3">
        <w:rPr>
          <w:b/>
        </w:rPr>
        <w:t>: The corresponding thresholds used in channel Occupancy measurement should be changed correspondingly.</w:t>
      </w:r>
      <w:r w:rsidRPr="004C7AE3">
        <w:rPr>
          <w:b/>
        </w:rPr>
        <w:fldChar w:fldCharType="end"/>
      </w:r>
    </w:p>
    <w:p w:rsidR="004C7AE3" w:rsidRPr="004C7AE3" w:rsidRDefault="004C7AE3" w:rsidP="00BD4808">
      <w:pPr>
        <w:rPr>
          <w:b/>
        </w:rPr>
      </w:pPr>
      <w:r w:rsidRPr="004C7AE3">
        <w:rPr>
          <w:b/>
        </w:rPr>
        <w:fldChar w:fldCharType="begin"/>
      </w:r>
      <w:r w:rsidRPr="004C7AE3">
        <w:rPr>
          <w:b/>
        </w:rPr>
        <w:instrText xml:space="preserve"> REF _Ref16919435 \h </w:instrText>
      </w:r>
      <w:r w:rsidRPr="004C7AE3">
        <w:rPr>
          <w:b/>
        </w:rPr>
      </w:r>
      <w:r w:rsidRPr="004C7AE3">
        <w:rPr>
          <w:b/>
        </w:rPr>
        <w:instrText xml:space="preserve"> \* MERGEFORMAT </w:instrText>
      </w:r>
      <w:r w:rsidRPr="004C7AE3">
        <w:rPr>
          <w:b/>
        </w:rPr>
        <w:fldChar w:fldCharType="separate"/>
      </w:r>
      <w:r w:rsidRPr="004C7AE3">
        <w:rPr>
          <w:b/>
        </w:rPr>
        <w:t xml:space="preserve">Proposal </w:t>
      </w:r>
      <w:r w:rsidRPr="004C7AE3">
        <w:rPr>
          <w:b/>
          <w:noProof/>
        </w:rPr>
        <w:t>23</w:t>
      </w:r>
      <w:r w:rsidRPr="004C7AE3">
        <w:rPr>
          <w:b/>
        </w:rPr>
        <w:t>: Sub-band-level RSSI and channel occupancy measurements should be supported.</w:t>
      </w:r>
      <w:r w:rsidRPr="004C7AE3">
        <w:rPr>
          <w:b/>
        </w:rPr>
        <w:fldChar w:fldCharType="end"/>
      </w:r>
    </w:p>
    <w:p w:rsidR="004C7AE3" w:rsidRDefault="004C7AE3" w:rsidP="00BD4808"/>
    <w:p w:rsidR="009C1480" w:rsidRPr="009C1480" w:rsidRDefault="00055B71" w:rsidP="009C1480">
      <w:pPr>
        <w:pStyle w:val="Heading1"/>
        <w:jc w:val="both"/>
        <w:rPr>
          <w:lang w:eastAsia="zh-CN"/>
        </w:rPr>
      </w:pPr>
      <w:r>
        <w:rPr>
          <w:lang w:eastAsia="zh-CN"/>
        </w:rPr>
        <w:t>References</w:t>
      </w:r>
    </w:p>
    <w:p w:rsidR="00055B71" w:rsidRDefault="000837B1" w:rsidP="00055B71">
      <w:pPr>
        <w:numPr>
          <w:ilvl w:val="0"/>
          <w:numId w:val="39"/>
        </w:numPr>
        <w:overflowPunct/>
        <w:autoSpaceDE/>
        <w:autoSpaceDN/>
        <w:adjustRightInd/>
        <w:spacing w:after="120"/>
        <w:textAlignment w:val="auto"/>
      </w:pPr>
      <w:bookmarkStart w:id="41" w:name="_Ref16873406"/>
      <w:bookmarkStart w:id="42" w:name="_Ref528853922"/>
      <w:bookmarkStart w:id="43" w:name="_Ref481596356"/>
      <w:bookmarkStart w:id="44" w:name="_Ref481781528"/>
      <w:bookmarkStart w:id="45" w:name="_Ref481782557"/>
      <w:r w:rsidRPr="000837B1">
        <w:rPr>
          <w:lang w:val="en-GB"/>
        </w:rPr>
        <w:t>RP-191581</w:t>
      </w:r>
      <w:r w:rsidR="00055B71">
        <w:t>, “</w:t>
      </w:r>
      <w:r w:rsidRPr="000837B1">
        <w:rPr>
          <w:lang w:val="en-GB"/>
        </w:rPr>
        <w:t>Guidance on ess</w:t>
      </w:r>
      <w:r>
        <w:rPr>
          <w:lang w:val="en-GB"/>
        </w:rPr>
        <w:t>ential functionalities for NR-U</w:t>
      </w:r>
      <w:r w:rsidR="00EC3126">
        <w:rPr>
          <w:lang w:val="en-GB"/>
        </w:rPr>
        <w:t>,</w:t>
      </w:r>
      <w:r w:rsidR="00055B71">
        <w:t>” Qualcomm Inc.</w:t>
      </w:r>
      <w:bookmarkEnd w:id="41"/>
    </w:p>
    <w:p w:rsidR="00EC3126" w:rsidRDefault="00EC3126" w:rsidP="00055B71">
      <w:pPr>
        <w:numPr>
          <w:ilvl w:val="0"/>
          <w:numId w:val="39"/>
        </w:numPr>
        <w:overflowPunct/>
        <w:autoSpaceDE/>
        <w:autoSpaceDN/>
        <w:adjustRightInd/>
        <w:spacing w:after="120"/>
        <w:textAlignment w:val="auto"/>
      </w:pPr>
      <w:bookmarkStart w:id="46" w:name="_Ref16916357"/>
      <w:r>
        <w:t>R4-1906967, “On RSSI measurements for NR-U,” Qualcomm Inc.</w:t>
      </w:r>
      <w:bookmarkEnd w:id="46"/>
    </w:p>
    <w:p w:rsidR="000837B1" w:rsidRPr="007F0D30" w:rsidRDefault="00AB0334" w:rsidP="007F0D30">
      <w:pPr>
        <w:numPr>
          <w:ilvl w:val="0"/>
          <w:numId w:val="39"/>
        </w:numPr>
        <w:overflowPunct/>
        <w:autoSpaceDE/>
        <w:autoSpaceDN/>
        <w:adjustRightInd/>
        <w:spacing w:after="120"/>
        <w:textAlignment w:val="auto"/>
        <w:rPr>
          <w:lang w:val="en-GB" w:eastAsia="en-US"/>
        </w:rPr>
      </w:pPr>
      <w:bookmarkStart w:id="47" w:name="_Ref16916373"/>
      <w:r w:rsidRPr="00D63646">
        <w:rPr>
          <w:lang w:val="en-GB" w:eastAsia="en-US"/>
        </w:rPr>
        <w:t>R4-1907326</w:t>
      </w:r>
      <w:r>
        <w:rPr>
          <w:lang w:val="en-GB" w:eastAsia="en-US"/>
        </w:rPr>
        <w:t>, “</w:t>
      </w:r>
      <w:r w:rsidRPr="00D63646">
        <w:rPr>
          <w:lang w:val="en-GB" w:eastAsia="en-US"/>
        </w:rPr>
        <w:t>CR on threshold for FS3 RSSI and channel occupancy tests R13</w:t>
      </w:r>
      <w:r>
        <w:rPr>
          <w:lang w:val="en-GB" w:eastAsia="en-US"/>
        </w:rPr>
        <w:t>”, MediaTek Inc.</w:t>
      </w:r>
      <w:bookmarkEnd w:id="42"/>
      <w:bookmarkEnd w:id="43"/>
      <w:bookmarkEnd w:id="44"/>
      <w:bookmarkEnd w:id="45"/>
      <w:bookmarkEnd w:id="47"/>
    </w:p>
    <w:sectPr w:rsidR="000837B1" w:rsidRPr="007F0D30" w:rsidSect="0054620D">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7487" w:rsidRDefault="002A7487">
      <w:r>
        <w:separator/>
      </w:r>
    </w:p>
  </w:endnote>
  <w:endnote w:type="continuationSeparator" w:id="0">
    <w:p w:rsidR="002A7487" w:rsidRDefault="002A7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Hei">
    <w:altName w:val="黑体"/>
    <w:panose1 w:val="02010609060101010101"/>
    <w:charset w:val="86"/>
    <w:family w:val="modern"/>
    <w:pitch w:val="fixed"/>
    <w:sig w:usb0="800002BF" w:usb1="38CF7CFA" w:usb2="00000016" w:usb3="00000000" w:csb0="00040001" w:csb1="00000000"/>
  </w:font>
  <w:font w:name="Lucida Grande">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3345706"/>
      <w:docPartObj>
        <w:docPartGallery w:val="Page Numbers (Bottom of Page)"/>
        <w:docPartUnique/>
      </w:docPartObj>
    </w:sdtPr>
    <w:sdtEndPr/>
    <w:sdtContent>
      <w:sdt>
        <w:sdtPr>
          <w:id w:val="-1705238520"/>
          <w:docPartObj>
            <w:docPartGallery w:val="Page Numbers (Top of Page)"/>
            <w:docPartUnique/>
          </w:docPartObj>
        </w:sdtPr>
        <w:sdtEndPr/>
        <w:sdtContent>
          <w:p w:rsidR="00EC56B7" w:rsidRDefault="00EC56B7">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sidR="004C7AE3">
              <w:rPr>
                <w:bCs/>
              </w:rPr>
              <w:t>1</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sidR="004C7AE3">
              <w:rPr>
                <w:bCs/>
              </w:rPr>
              <w:t>12</w:t>
            </w:r>
            <w:r>
              <w:rPr>
                <w:b w:val="0"/>
                <w:bCs/>
                <w:sz w:val="24"/>
                <w:szCs w:val="24"/>
              </w:rPr>
              <w:fldChar w:fldCharType="end"/>
            </w:r>
          </w:p>
        </w:sdtContent>
      </w:sdt>
    </w:sdtContent>
  </w:sdt>
  <w:p w:rsidR="00EC56B7" w:rsidRDefault="00EC56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7487" w:rsidRDefault="002A7487">
      <w:r>
        <w:separator/>
      </w:r>
    </w:p>
  </w:footnote>
  <w:footnote w:type="continuationSeparator" w:id="0">
    <w:p w:rsidR="002A7487" w:rsidRDefault="002A74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B26D5"/>
    <w:multiLevelType w:val="hybridMultilevel"/>
    <w:tmpl w:val="EA24E810"/>
    <w:lvl w:ilvl="0" w:tplc="29E20FA2">
      <w:start w:val="1"/>
      <w:numFmt w:val="bullet"/>
      <w:lvlText w:val="-"/>
      <w:lvlJc w:val="left"/>
      <w:pPr>
        <w:ind w:left="766" w:hanging="360"/>
      </w:pPr>
      <w:rPr>
        <w:rFonts w:ascii="SimSun" w:eastAsia="SimSun" w:hAnsi="SimSun" w:hint="eastAsia"/>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825AF6"/>
    <w:multiLevelType w:val="hybridMultilevel"/>
    <w:tmpl w:val="95E030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5E5066"/>
    <w:multiLevelType w:val="hybridMultilevel"/>
    <w:tmpl w:val="4B242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674059"/>
    <w:multiLevelType w:val="hybridMultilevel"/>
    <w:tmpl w:val="B0CC1B28"/>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B654AE"/>
    <w:multiLevelType w:val="hybridMultilevel"/>
    <w:tmpl w:val="A3F8E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185967"/>
    <w:multiLevelType w:val="multilevel"/>
    <w:tmpl w:val="B6985C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EC76F4"/>
    <w:multiLevelType w:val="hybridMultilevel"/>
    <w:tmpl w:val="6B4EF86A"/>
    <w:lvl w:ilvl="0" w:tplc="8626E7EC">
      <w:start w:val="1"/>
      <w:numFmt w:val="bullet"/>
      <w:lvlText w:val="▪"/>
      <w:lvlJc w:val="left"/>
      <w:pPr>
        <w:tabs>
          <w:tab w:val="num" w:pos="720"/>
        </w:tabs>
        <w:ind w:left="720" w:hanging="360"/>
      </w:pPr>
      <w:rPr>
        <w:rFonts w:ascii="Lucida Grande" w:hAnsi="Lucida Grande" w:hint="default"/>
      </w:rPr>
    </w:lvl>
    <w:lvl w:ilvl="1" w:tplc="C94C0D1A" w:tentative="1">
      <w:start w:val="1"/>
      <w:numFmt w:val="bullet"/>
      <w:lvlText w:val="▪"/>
      <w:lvlJc w:val="left"/>
      <w:pPr>
        <w:tabs>
          <w:tab w:val="num" w:pos="1440"/>
        </w:tabs>
        <w:ind w:left="1440" w:hanging="360"/>
      </w:pPr>
      <w:rPr>
        <w:rFonts w:ascii="Lucida Grande" w:hAnsi="Lucida Grande" w:hint="default"/>
      </w:rPr>
    </w:lvl>
    <w:lvl w:ilvl="2" w:tplc="EB14F77C" w:tentative="1">
      <w:start w:val="1"/>
      <w:numFmt w:val="bullet"/>
      <w:lvlText w:val="▪"/>
      <w:lvlJc w:val="left"/>
      <w:pPr>
        <w:tabs>
          <w:tab w:val="num" w:pos="2160"/>
        </w:tabs>
        <w:ind w:left="2160" w:hanging="360"/>
      </w:pPr>
      <w:rPr>
        <w:rFonts w:ascii="Lucida Grande" w:hAnsi="Lucida Grande" w:hint="default"/>
      </w:rPr>
    </w:lvl>
    <w:lvl w:ilvl="3" w:tplc="0B74A3A6" w:tentative="1">
      <w:start w:val="1"/>
      <w:numFmt w:val="bullet"/>
      <w:lvlText w:val="▪"/>
      <w:lvlJc w:val="left"/>
      <w:pPr>
        <w:tabs>
          <w:tab w:val="num" w:pos="2880"/>
        </w:tabs>
        <w:ind w:left="2880" w:hanging="360"/>
      </w:pPr>
      <w:rPr>
        <w:rFonts w:ascii="Lucida Grande" w:hAnsi="Lucida Grande" w:hint="default"/>
      </w:rPr>
    </w:lvl>
    <w:lvl w:ilvl="4" w:tplc="BACA8236" w:tentative="1">
      <w:start w:val="1"/>
      <w:numFmt w:val="bullet"/>
      <w:lvlText w:val="▪"/>
      <w:lvlJc w:val="left"/>
      <w:pPr>
        <w:tabs>
          <w:tab w:val="num" w:pos="3600"/>
        </w:tabs>
        <w:ind w:left="3600" w:hanging="360"/>
      </w:pPr>
      <w:rPr>
        <w:rFonts w:ascii="Lucida Grande" w:hAnsi="Lucida Grande" w:hint="default"/>
      </w:rPr>
    </w:lvl>
    <w:lvl w:ilvl="5" w:tplc="E3E446A8" w:tentative="1">
      <w:start w:val="1"/>
      <w:numFmt w:val="bullet"/>
      <w:lvlText w:val="▪"/>
      <w:lvlJc w:val="left"/>
      <w:pPr>
        <w:tabs>
          <w:tab w:val="num" w:pos="4320"/>
        </w:tabs>
        <w:ind w:left="4320" w:hanging="360"/>
      </w:pPr>
      <w:rPr>
        <w:rFonts w:ascii="Lucida Grande" w:hAnsi="Lucida Grande" w:hint="default"/>
      </w:rPr>
    </w:lvl>
    <w:lvl w:ilvl="6" w:tplc="F3FA444A" w:tentative="1">
      <w:start w:val="1"/>
      <w:numFmt w:val="bullet"/>
      <w:lvlText w:val="▪"/>
      <w:lvlJc w:val="left"/>
      <w:pPr>
        <w:tabs>
          <w:tab w:val="num" w:pos="5040"/>
        </w:tabs>
        <w:ind w:left="5040" w:hanging="360"/>
      </w:pPr>
      <w:rPr>
        <w:rFonts w:ascii="Lucida Grande" w:hAnsi="Lucida Grande" w:hint="default"/>
      </w:rPr>
    </w:lvl>
    <w:lvl w:ilvl="7" w:tplc="569401A6" w:tentative="1">
      <w:start w:val="1"/>
      <w:numFmt w:val="bullet"/>
      <w:lvlText w:val="▪"/>
      <w:lvlJc w:val="left"/>
      <w:pPr>
        <w:tabs>
          <w:tab w:val="num" w:pos="5760"/>
        </w:tabs>
        <w:ind w:left="5760" w:hanging="360"/>
      </w:pPr>
      <w:rPr>
        <w:rFonts w:ascii="Lucida Grande" w:hAnsi="Lucida Grande" w:hint="default"/>
      </w:rPr>
    </w:lvl>
    <w:lvl w:ilvl="8" w:tplc="96326C00"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350E220D"/>
    <w:multiLevelType w:val="hybridMultilevel"/>
    <w:tmpl w:val="10480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05E1782"/>
    <w:multiLevelType w:val="hybridMultilevel"/>
    <w:tmpl w:val="323EE4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180860"/>
    <w:multiLevelType w:val="hybridMultilevel"/>
    <w:tmpl w:val="0CA2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4F13E4"/>
    <w:multiLevelType w:val="hybridMultilevel"/>
    <w:tmpl w:val="861E9EC4"/>
    <w:lvl w:ilvl="0" w:tplc="FF10C45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B4E2F28"/>
    <w:multiLevelType w:val="hybridMultilevel"/>
    <w:tmpl w:val="A33CA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9F7244C"/>
    <w:multiLevelType w:val="hybridMultilevel"/>
    <w:tmpl w:val="68D4F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551256"/>
    <w:multiLevelType w:val="hybridMultilevel"/>
    <w:tmpl w:val="5B868F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39C1ADB"/>
    <w:multiLevelType w:val="hybridMultilevel"/>
    <w:tmpl w:val="16D08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5704AF"/>
    <w:multiLevelType w:val="hybridMultilevel"/>
    <w:tmpl w:val="A106D4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F572D0B"/>
    <w:multiLevelType w:val="hybridMultilevel"/>
    <w:tmpl w:val="99BE9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E25278"/>
    <w:multiLevelType w:val="hybridMultilevel"/>
    <w:tmpl w:val="F3D861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ED7974"/>
    <w:multiLevelType w:val="hybridMultilevel"/>
    <w:tmpl w:val="CBCC0D98"/>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374703"/>
    <w:multiLevelType w:val="hybridMultilevel"/>
    <w:tmpl w:val="25C8F0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1B13E6"/>
    <w:multiLevelType w:val="hybridMultilevel"/>
    <w:tmpl w:val="61DA4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40"/>
  </w:num>
  <w:num w:numId="4">
    <w:abstractNumId w:val="43"/>
  </w:num>
  <w:num w:numId="5">
    <w:abstractNumId w:val="3"/>
  </w:num>
  <w:num w:numId="6">
    <w:abstractNumId w:val="25"/>
  </w:num>
  <w:num w:numId="7">
    <w:abstractNumId w:val="27"/>
  </w:num>
  <w:num w:numId="8">
    <w:abstractNumId w:val="4"/>
  </w:num>
  <w:num w:numId="9">
    <w:abstractNumId w:val="9"/>
  </w:num>
  <w:num w:numId="10">
    <w:abstractNumId w:val="20"/>
  </w:num>
  <w:num w:numId="11">
    <w:abstractNumId w:val="14"/>
  </w:num>
  <w:num w:numId="12">
    <w:abstractNumId w:val="1"/>
  </w:num>
  <w:num w:numId="13">
    <w:abstractNumId w:val="41"/>
  </w:num>
  <w:num w:numId="14">
    <w:abstractNumId w:val="0"/>
  </w:num>
  <w:num w:numId="15">
    <w:abstractNumId w:val="39"/>
  </w:num>
  <w:num w:numId="16">
    <w:abstractNumId w:val="18"/>
  </w:num>
  <w:num w:numId="17">
    <w:abstractNumId w:val="33"/>
  </w:num>
  <w:num w:numId="18">
    <w:abstractNumId w:val="12"/>
  </w:num>
  <w:num w:numId="19">
    <w:abstractNumId w:val="28"/>
  </w:num>
  <w:num w:numId="20">
    <w:abstractNumId w:val="22"/>
  </w:num>
  <w:num w:numId="21">
    <w:abstractNumId w:val="23"/>
  </w:num>
  <w:num w:numId="22">
    <w:abstractNumId w:val="30"/>
  </w:num>
  <w:num w:numId="23">
    <w:abstractNumId w:val="34"/>
  </w:num>
  <w:num w:numId="24">
    <w:abstractNumId w:val="16"/>
  </w:num>
  <w:num w:numId="25">
    <w:abstractNumId w:val="38"/>
  </w:num>
  <w:num w:numId="26">
    <w:abstractNumId w:val="10"/>
  </w:num>
  <w:num w:numId="27">
    <w:abstractNumId w:val="36"/>
  </w:num>
  <w:num w:numId="28">
    <w:abstractNumId w:val="2"/>
  </w:num>
  <w:num w:numId="29">
    <w:abstractNumId w:val="29"/>
  </w:num>
  <w:num w:numId="30">
    <w:abstractNumId w:val="35"/>
  </w:num>
  <w:num w:numId="31">
    <w:abstractNumId w:val="11"/>
  </w:num>
  <w:num w:numId="32">
    <w:abstractNumId w:val="19"/>
  </w:num>
  <w:num w:numId="33">
    <w:abstractNumId w:val="31"/>
  </w:num>
  <w:num w:numId="34">
    <w:abstractNumId w:val="42"/>
  </w:num>
  <w:num w:numId="35">
    <w:abstractNumId w:val="21"/>
  </w:num>
  <w:num w:numId="36">
    <w:abstractNumId w:val="37"/>
  </w:num>
  <w:num w:numId="37">
    <w:abstractNumId w:val="24"/>
  </w:num>
  <w:num w:numId="38">
    <w:abstractNumId w:val="7"/>
  </w:num>
  <w:num w:numId="39">
    <w:abstractNumId w:val="15"/>
  </w:num>
  <w:num w:numId="40">
    <w:abstractNumId w:val="13"/>
  </w:num>
  <w:num w:numId="41">
    <w:abstractNumId w:val="17"/>
  </w:num>
  <w:num w:numId="42">
    <w:abstractNumId w:val="8"/>
  </w:num>
  <w:num w:numId="43">
    <w:abstractNumId w:val="32"/>
    <w:lvlOverride w:ilvl="0"/>
    <w:lvlOverride w:ilvl="1"/>
    <w:lvlOverride w:ilvl="2"/>
    <w:lvlOverride w:ilvl="3"/>
    <w:lvlOverride w:ilvl="4"/>
    <w:lvlOverride w:ilvl="5"/>
    <w:lvlOverride w:ilvl="6"/>
    <w:lvlOverride w:ilvl="7"/>
    <w:lvlOverride w:ilvl="8"/>
  </w:num>
  <w:num w:numId="44">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9"/>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48"/>
    <w:rsid w:val="00000537"/>
    <w:rsid w:val="00000560"/>
    <w:rsid w:val="00000823"/>
    <w:rsid w:val="00000A34"/>
    <w:rsid w:val="00000AE6"/>
    <w:rsid w:val="00000D1E"/>
    <w:rsid w:val="00000D20"/>
    <w:rsid w:val="00000F5C"/>
    <w:rsid w:val="00000FC5"/>
    <w:rsid w:val="000011F6"/>
    <w:rsid w:val="00001312"/>
    <w:rsid w:val="0000170B"/>
    <w:rsid w:val="00001711"/>
    <w:rsid w:val="0000186B"/>
    <w:rsid w:val="00001940"/>
    <w:rsid w:val="00001E8F"/>
    <w:rsid w:val="000022E4"/>
    <w:rsid w:val="00002503"/>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AF4"/>
    <w:rsid w:val="00003B4D"/>
    <w:rsid w:val="00003DF6"/>
    <w:rsid w:val="00003FCF"/>
    <w:rsid w:val="00004279"/>
    <w:rsid w:val="000042BD"/>
    <w:rsid w:val="000044DA"/>
    <w:rsid w:val="0000456F"/>
    <w:rsid w:val="0000473A"/>
    <w:rsid w:val="0000485C"/>
    <w:rsid w:val="00004CE3"/>
    <w:rsid w:val="00005153"/>
    <w:rsid w:val="00005718"/>
    <w:rsid w:val="000058BF"/>
    <w:rsid w:val="00005BAF"/>
    <w:rsid w:val="00005D3B"/>
    <w:rsid w:val="0000613E"/>
    <w:rsid w:val="00006161"/>
    <w:rsid w:val="00006AA0"/>
    <w:rsid w:val="00006DFA"/>
    <w:rsid w:val="00007146"/>
    <w:rsid w:val="000075AC"/>
    <w:rsid w:val="00007D0B"/>
    <w:rsid w:val="00007EEC"/>
    <w:rsid w:val="00007FCF"/>
    <w:rsid w:val="00010150"/>
    <w:rsid w:val="000101D3"/>
    <w:rsid w:val="0001056A"/>
    <w:rsid w:val="00010B04"/>
    <w:rsid w:val="00010DFD"/>
    <w:rsid w:val="000110CA"/>
    <w:rsid w:val="00011214"/>
    <w:rsid w:val="00011430"/>
    <w:rsid w:val="0001189F"/>
    <w:rsid w:val="000118F6"/>
    <w:rsid w:val="00011A60"/>
    <w:rsid w:val="00011BA5"/>
    <w:rsid w:val="00012092"/>
    <w:rsid w:val="000121FF"/>
    <w:rsid w:val="0001268C"/>
    <w:rsid w:val="00012D26"/>
    <w:rsid w:val="00012F72"/>
    <w:rsid w:val="00013008"/>
    <w:rsid w:val="00013171"/>
    <w:rsid w:val="000132ED"/>
    <w:rsid w:val="0001353C"/>
    <w:rsid w:val="00013B65"/>
    <w:rsid w:val="00013CB8"/>
    <w:rsid w:val="00013CF8"/>
    <w:rsid w:val="00013D6C"/>
    <w:rsid w:val="00013D80"/>
    <w:rsid w:val="0001463C"/>
    <w:rsid w:val="00014972"/>
    <w:rsid w:val="00014EAB"/>
    <w:rsid w:val="00015330"/>
    <w:rsid w:val="0001565F"/>
    <w:rsid w:val="00015CB6"/>
    <w:rsid w:val="0001604D"/>
    <w:rsid w:val="000166C7"/>
    <w:rsid w:val="0001688F"/>
    <w:rsid w:val="0001695C"/>
    <w:rsid w:val="00016FFF"/>
    <w:rsid w:val="0001701A"/>
    <w:rsid w:val="000170F9"/>
    <w:rsid w:val="00017186"/>
    <w:rsid w:val="000174BC"/>
    <w:rsid w:val="00017C1F"/>
    <w:rsid w:val="00017C43"/>
    <w:rsid w:val="0002016D"/>
    <w:rsid w:val="00020198"/>
    <w:rsid w:val="00020435"/>
    <w:rsid w:val="00020567"/>
    <w:rsid w:val="000205C0"/>
    <w:rsid w:val="00020770"/>
    <w:rsid w:val="000207DE"/>
    <w:rsid w:val="00020A7B"/>
    <w:rsid w:val="00020BFF"/>
    <w:rsid w:val="00021554"/>
    <w:rsid w:val="000216E1"/>
    <w:rsid w:val="000216FB"/>
    <w:rsid w:val="00021823"/>
    <w:rsid w:val="00021BCD"/>
    <w:rsid w:val="00021BE6"/>
    <w:rsid w:val="00021CBE"/>
    <w:rsid w:val="000224E8"/>
    <w:rsid w:val="00022518"/>
    <w:rsid w:val="00022618"/>
    <w:rsid w:val="00022E4A"/>
    <w:rsid w:val="00022F4D"/>
    <w:rsid w:val="00022FB8"/>
    <w:rsid w:val="00023754"/>
    <w:rsid w:val="0002377D"/>
    <w:rsid w:val="00023AF9"/>
    <w:rsid w:val="00023BE7"/>
    <w:rsid w:val="00023D7B"/>
    <w:rsid w:val="00023D80"/>
    <w:rsid w:val="00023E47"/>
    <w:rsid w:val="00023E5C"/>
    <w:rsid w:val="000245A8"/>
    <w:rsid w:val="000245D7"/>
    <w:rsid w:val="000245E3"/>
    <w:rsid w:val="00024649"/>
    <w:rsid w:val="0002469E"/>
    <w:rsid w:val="00024C71"/>
    <w:rsid w:val="00024DC5"/>
    <w:rsid w:val="00025434"/>
    <w:rsid w:val="00025558"/>
    <w:rsid w:val="00025606"/>
    <w:rsid w:val="0002577D"/>
    <w:rsid w:val="00025A2E"/>
    <w:rsid w:val="00025B8E"/>
    <w:rsid w:val="00025BA5"/>
    <w:rsid w:val="00025E9D"/>
    <w:rsid w:val="00026057"/>
    <w:rsid w:val="000262F1"/>
    <w:rsid w:val="00026342"/>
    <w:rsid w:val="00026BC5"/>
    <w:rsid w:val="00026C65"/>
    <w:rsid w:val="00026DD4"/>
    <w:rsid w:val="00027017"/>
    <w:rsid w:val="00027077"/>
    <w:rsid w:val="0002747B"/>
    <w:rsid w:val="0002786F"/>
    <w:rsid w:val="00027E11"/>
    <w:rsid w:val="00027ED1"/>
    <w:rsid w:val="0003058F"/>
    <w:rsid w:val="00030761"/>
    <w:rsid w:val="00030EEF"/>
    <w:rsid w:val="0003122C"/>
    <w:rsid w:val="00031567"/>
    <w:rsid w:val="000316DD"/>
    <w:rsid w:val="000319EE"/>
    <w:rsid w:val="00031FF9"/>
    <w:rsid w:val="00032476"/>
    <w:rsid w:val="00032504"/>
    <w:rsid w:val="00032815"/>
    <w:rsid w:val="00032AB8"/>
    <w:rsid w:val="00032D94"/>
    <w:rsid w:val="00032FA4"/>
    <w:rsid w:val="0003329A"/>
    <w:rsid w:val="000335E0"/>
    <w:rsid w:val="00033ABF"/>
    <w:rsid w:val="00033D87"/>
    <w:rsid w:val="00033E0F"/>
    <w:rsid w:val="0003419C"/>
    <w:rsid w:val="000342D7"/>
    <w:rsid w:val="00034623"/>
    <w:rsid w:val="000346B7"/>
    <w:rsid w:val="000348B7"/>
    <w:rsid w:val="00034927"/>
    <w:rsid w:val="00034997"/>
    <w:rsid w:val="00034B32"/>
    <w:rsid w:val="000357E9"/>
    <w:rsid w:val="0003590A"/>
    <w:rsid w:val="00035B8C"/>
    <w:rsid w:val="00035BFC"/>
    <w:rsid w:val="00035D37"/>
    <w:rsid w:val="00035FC9"/>
    <w:rsid w:val="00036023"/>
    <w:rsid w:val="00036689"/>
    <w:rsid w:val="000366B6"/>
    <w:rsid w:val="000368E6"/>
    <w:rsid w:val="00036ADC"/>
    <w:rsid w:val="00036C48"/>
    <w:rsid w:val="00036F89"/>
    <w:rsid w:val="00036FF0"/>
    <w:rsid w:val="0003706B"/>
    <w:rsid w:val="000373B4"/>
    <w:rsid w:val="0003798A"/>
    <w:rsid w:val="00037B33"/>
    <w:rsid w:val="00040265"/>
    <w:rsid w:val="00040386"/>
    <w:rsid w:val="000405C5"/>
    <w:rsid w:val="000405EB"/>
    <w:rsid w:val="0004072F"/>
    <w:rsid w:val="00040B64"/>
    <w:rsid w:val="00040BD9"/>
    <w:rsid w:val="0004101D"/>
    <w:rsid w:val="0004127F"/>
    <w:rsid w:val="00041767"/>
    <w:rsid w:val="000418D1"/>
    <w:rsid w:val="000419D7"/>
    <w:rsid w:val="00041B6A"/>
    <w:rsid w:val="000421C4"/>
    <w:rsid w:val="00042215"/>
    <w:rsid w:val="000426F9"/>
    <w:rsid w:val="00042901"/>
    <w:rsid w:val="0004296E"/>
    <w:rsid w:val="00042A2B"/>
    <w:rsid w:val="00042B41"/>
    <w:rsid w:val="00042EDF"/>
    <w:rsid w:val="00042FF8"/>
    <w:rsid w:val="000430F7"/>
    <w:rsid w:val="00043166"/>
    <w:rsid w:val="000433FA"/>
    <w:rsid w:val="00043405"/>
    <w:rsid w:val="00043474"/>
    <w:rsid w:val="00043B40"/>
    <w:rsid w:val="00043BC5"/>
    <w:rsid w:val="00043D1C"/>
    <w:rsid w:val="00043D47"/>
    <w:rsid w:val="00043E22"/>
    <w:rsid w:val="00043E71"/>
    <w:rsid w:val="000442D9"/>
    <w:rsid w:val="000442EC"/>
    <w:rsid w:val="00044435"/>
    <w:rsid w:val="000444C5"/>
    <w:rsid w:val="000444E4"/>
    <w:rsid w:val="00044562"/>
    <w:rsid w:val="000445EC"/>
    <w:rsid w:val="000445F3"/>
    <w:rsid w:val="000448B6"/>
    <w:rsid w:val="0004513D"/>
    <w:rsid w:val="0004520E"/>
    <w:rsid w:val="00045306"/>
    <w:rsid w:val="000454F2"/>
    <w:rsid w:val="00045628"/>
    <w:rsid w:val="00045732"/>
    <w:rsid w:val="0004594C"/>
    <w:rsid w:val="000459FF"/>
    <w:rsid w:val="00045B37"/>
    <w:rsid w:val="00045DB2"/>
    <w:rsid w:val="00045F90"/>
    <w:rsid w:val="0004602C"/>
    <w:rsid w:val="000460B7"/>
    <w:rsid w:val="000468A5"/>
    <w:rsid w:val="00046E02"/>
    <w:rsid w:val="00047180"/>
    <w:rsid w:val="00047233"/>
    <w:rsid w:val="000473EF"/>
    <w:rsid w:val="00047410"/>
    <w:rsid w:val="00047564"/>
    <w:rsid w:val="00047976"/>
    <w:rsid w:val="00047A86"/>
    <w:rsid w:val="00047D2B"/>
    <w:rsid w:val="00047FDD"/>
    <w:rsid w:val="000502EF"/>
    <w:rsid w:val="0005055D"/>
    <w:rsid w:val="00050832"/>
    <w:rsid w:val="000508D9"/>
    <w:rsid w:val="000512F5"/>
    <w:rsid w:val="00051908"/>
    <w:rsid w:val="00051910"/>
    <w:rsid w:val="00051CAF"/>
    <w:rsid w:val="00052018"/>
    <w:rsid w:val="000520DD"/>
    <w:rsid w:val="0005250C"/>
    <w:rsid w:val="00052586"/>
    <w:rsid w:val="00052B01"/>
    <w:rsid w:val="00052D5C"/>
    <w:rsid w:val="00052D9D"/>
    <w:rsid w:val="00052F07"/>
    <w:rsid w:val="0005317C"/>
    <w:rsid w:val="000534F5"/>
    <w:rsid w:val="0005355E"/>
    <w:rsid w:val="0005366D"/>
    <w:rsid w:val="000536D5"/>
    <w:rsid w:val="00053ED8"/>
    <w:rsid w:val="00054145"/>
    <w:rsid w:val="0005476A"/>
    <w:rsid w:val="000547C8"/>
    <w:rsid w:val="000548FB"/>
    <w:rsid w:val="00054918"/>
    <w:rsid w:val="00054A94"/>
    <w:rsid w:val="00054CEB"/>
    <w:rsid w:val="00054E24"/>
    <w:rsid w:val="00055062"/>
    <w:rsid w:val="00055162"/>
    <w:rsid w:val="000552C6"/>
    <w:rsid w:val="00055816"/>
    <w:rsid w:val="000558AA"/>
    <w:rsid w:val="00055B71"/>
    <w:rsid w:val="00055BFC"/>
    <w:rsid w:val="00055C4F"/>
    <w:rsid w:val="00055CA6"/>
    <w:rsid w:val="00055CA8"/>
    <w:rsid w:val="00055D18"/>
    <w:rsid w:val="00055E1A"/>
    <w:rsid w:val="00056197"/>
    <w:rsid w:val="00056231"/>
    <w:rsid w:val="0005684C"/>
    <w:rsid w:val="00056B88"/>
    <w:rsid w:val="00056BC7"/>
    <w:rsid w:val="00056FEA"/>
    <w:rsid w:val="00057058"/>
    <w:rsid w:val="0005705B"/>
    <w:rsid w:val="00057343"/>
    <w:rsid w:val="0005753E"/>
    <w:rsid w:val="000576AB"/>
    <w:rsid w:val="000577B4"/>
    <w:rsid w:val="00057A2A"/>
    <w:rsid w:val="00057F0D"/>
    <w:rsid w:val="00057F83"/>
    <w:rsid w:val="00057FD0"/>
    <w:rsid w:val="00060281"/>
    <w:rsid w:val="000606CD"/>
    <w:rsid w:val="00060773"/>
    <w:rsid w:val="0006090F"/>
    <w:rsid w:val="000609DD"/>
    <w:rsid w:val="00060E55"/>
    <w:rsid w:val="0006173A"/>
    <w:rsid w:val="000618EE"/>
    <w:rsid w:val="00061ABD"/>
    <w:rsid w:val="0006215C"/>
    <w:rsid w:val="000622D3"/>
    <w:rsid w:val="000625BF"/>
    <w:rsid w:val="0006276A"/>
    <w:rsid w:val="00062A3B"/>
    <w:rsid w:val="000632C3"/>
    <w:rsid w:val="00063B94"/>
    <w:rsid w:val="00063F93"/>
    <w:rsid w:val="00064173"/>
    <w:rsid w:val="000644EF"/>
    <w:rsid w:val="00064572"/>
    <w:rsid w:val="000646ED"/>
    <w:rsid w:val="00064877"/>
    <w:rsid w:val="00064AC1"/>
    <w:rsid w:val="00064EDD"/>
    <w:rsid w:val="00065413"/>
    <w:rsid w:val="00065541"/>
    <w:rsid w:val="000655EF"/>
    <w:rsid w:val="00065731"/>
    <w:rsid w:val="00065966"/>
    <w:rsid w:val="00065DE1"/>
    <w:rsid w:val="00066182"/>
    <w:rsid w:val="000665E5"/>
    <w:rsid w:val="000666AD"/>
    <w:rsid w:val="00066BCF"/>
    <w:rsid w:val="00066E88"/>
    <w:rsid w:val="00066F7C"/>
    <w:rsid w:val="00067862"/>
    <w:rsid w:val="00067A3B"/>
    <w:rsid w:val="00067B7E"/>
    <w:rsid w:val="00067B91"/>
    <w:rsid w:val="00067C4B"/>
    <w:rsid w:val="00067E87"/>
    <w:rsid w:val="00067EBC"/>
    <w:rsid w:val="00067F5A"/>
    <w:rsid w:val="0007051A"/>
    <w:rsid w:val="00070CDD"/>
    <w:rsid w:val="00071028"/>
    <w:rsid w:val="00071168"/>
    <w:rsid w:val="0007160F"/>
    <w:rsid w:val="00071C13"/>
    <w:rsid w:val="00071D2A"/>
    <w:rsid w:val="00071D49"/>
    <w:rsid w:val="00071E1E"/>
    <w:rsid w:val="00071E65"/>
    <w:rsid w:val="000725F9"/>
    <w:rsid w:val="00072606"/>
    <w:rsid w:val="0007266F"/>
    <w:rsid w:val="00072808"/>
    <w:rsid w:val="00072B49"/>
    <w:rsid w:val="00072CF5"/>
    <w:rsid w:val="00072EBC"/>
    <w:rsid w:val="00072EDF"/>
    <w:rsid w:val="00072FD4"/>
    <w:rsid w:val="00073015"/>
    <w:rsid w:val="0007314E"/>
    <w:rsid w:val="000735A4"/>
    <w:rsid w:val="000737BB"/>
    <w:rsid w:val="00073912"/>
    <w:rsid w:val="00073C97"/>
    <w:rsid w:val="00073DF6"/>
    <w:rsid w:val="00073E5B"/>
    <w:rsid w:val="00073F02"/>
    <w:rsid w:val="0007420C"/>
    <w:rsid w:val="0007441E"/>
    <w:rsid w:val="000745F4"/>
    <w:rsid w:val="00074E9B"/>
    <w:rsid w:val="00075247"/>
    <w:rsid w:val="0007528A"/>
    <w:rsid w:val="00075433"/>
    <w:rsid w:val="0007550D"/>
    <w:rsid w:val="0007553A"/>
    <w:rsid w:val="000758A7"/>
    <w:rsid w:val="0007618E"/>
    <w:rsid w:val="00076275"/>
    <w:rsid w:val="00076280"/>
    <w:rsid w:val="000762A6"/>
    <w:rsid w:val="00076794"/>
    <w:rsid w:val="00076816"/>
    <w:rsid w:val="00076E9F"/>
    <w:rsid w:val="000772A1"/>
    <w:rsid w:val="000772B6"/>
    <w:rsid w:val="000773DC"/>
    <w:rsid w:val="00077763"/>
    <w:rsid w:val="000777B5"/>
    <w:rsid w:val="00077AB4"/>
    <w:rsid w:val="00077E1E"/>
    <w:rsid w:val="00077FB5"/>
    <w:rsid w:val="00077FFC"/>
    <w:rsid w:val="0008023D"/>
    <w:rsid w:val="000803FA"/>
    <w:rsid w:val="00080476"/>
    <w:rsid w:val="00080540"/>
    <w:rsid w:val="00080BA3"/>
    <w:rsid w:val="00080DED"/>
    <w:rsid w:val="00080E6D"/>
    <w:rsid w:val="00081103"/>
    <w:rsid w:val="00081C37"/>
    <w:rsid w:val="000822E1"/>
    <w:rsid w:val="00082713"/>
    <w:rsid w:val="00082B1E"/>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4D1"/>
    <w:rsid w:val="000845CC"/>
    <w:rsid w:val="00084631"/>
    <w:rsid w:val="00084B7F"/>
    <w:rsid w:val="00084F0C"/>
    <w:rsid w:val="0008518C"/>
    <w:rsid w:val="000851C5"/>
    <w:rsid w:val="00085A3B"/>
    <w:rsid w:val="00085DF3"/>
    <w:rsid w:val="000861E1"/>
    <w:rsid w:val="000864CA"/>
    <w:rsid w:val="0008667C"/>
    <w:rsid w:val="00086A4E"/>
    <w:rsid w:val="00086B96"/>
    <w:rsid w:val="00086FFF"/>
    <w:rsid w:val="0008719B"/>
    <w:rsid w:val="00087392"/>
    <w:rsid w:val="000874E0"/>
    <w:rsid w:val="000875DD"/>
    <w:rsid w:val="000875E7"/>
    <w:rsid w:val="00087A63"/>
    <w:rsid w:val="00087B8E"/>
    <w:rsid w:val="00087C00"/>
    <w:rsid w:val="00087EDD"/>
    <w:rsid w:val="00087F47"/>
    <w:rsid w:val="00087F8F"/>
    <w:rsid w:val="00090F74"/>
    <w:rsid w:val="0009106A"/>
    <w:rsid w:val="000910BF"/>
    <w:rsid w:val="00091265"/>
    <w:rsid w:val="00091406"/>
    <w:rsid w:val="000915BB"/>
    <w:rsid w:val="00091874"/>
    <w:rsid w:val="00091ABA"/>
    <w:rsid w:val="00091CDD"/>
    <w:rsid w:val="00091F2A"/>
    <w:rsid w:val="00092DCD"/>
    <w:rsid w:val="00093236"/>
    <w:rsid w:val="000932F0"/>
    <w:rsid w:val="00093A2E"/>
    <w:rsid w:val="00093B7D"/>
    <w:rsid w:val="00093CC7"/>
    <w:rsid w:val="00093E22"/>
    <w:rsid w:val="00093E55"/>
    <w:rsid w:val="000945E4"/>
    <w:rsid w:val="00094829"/>
    <w:rsid w:val="00094AD5"/>
    <w:rsid w:val="00094FA3"/>
    <w:rsid w:val="0009507E"/>
    <w:rsid w:val="000950C5"/>
    <w:rsid w:val="00095437"/>
    <w:rsid w:val="00095493"/>
    <w:rsid w:val="0009552A"/>
    <w:rsid w:val="000956AC"/>
    <w:rsid w:val="000956FC"/>
    <w:rsid w:val="00095769"/>
    <w:rsid w:val="0009599F"/>
    <w:rsid w:val="00095E17"/>
    <w:rsid w:val="00095E65"/>
    <w:rsid w:val="0009603F"/>
    <w:rsid w:val="000964D1"/>
    <w:rsid w:val="000966E7"/>
    <w:rsid w:val="000966FB"/>
    <w:rsid w:val="00096977"/>
    <w:rsid w:val="00096A19"/>
    <w:rsid w:val="00096AB1"/>
    <w:rsid w:val="00096C1E"/>
    <w:rsid w:val="00096DB0"/>
    <w:rsid w:val="00096FDA"/>
    <w:rsid w:val="0009702F"/>
    <w:rsid w:val="0009762D"/>
    <w:rsid w:val="0009763A"/>
    <w:rsid w:val="0009763D"/>
    <w:rsid w:val="00097869"/>
    <w:rsid w:val="00097964"/>
    <w:rsid w:val="00097992"/>
    <w:rsid w:val="00097A6C"/>
    <w:rsid w:val="00097CA2"/>
    <w:rsid w:val="00097F7A"/>
    <w:rsid w:val="00097FD1"/>
    <w:rsid w:val="000A01BF"/>
    <w:rsid w:val="000A02A5"/>
    <w:rsid w:val="000A05C9"/>
    <w:rsid w:val="000A07C5"/>
    <w:rsid w:val="000A08AF"/>
    <w:rsid w:val="000A0F3D"/>
    <w:rsid w:val="000A10EB"/>
    <w:rsid w:val="000A1AD0"/>
    <w:rsid w:val="000A1E7B"/>
    <w:rsid w:val="000A21D8"/>
    <w:rsid w:val="000A2725"/>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598"/>
    <w:rsid w:val="000A4721"/>
    <w:rsid w:val="000A477F"/>
    <w:rsid w:val="000A48CF"/>
    <w:rsid w:val="000A49BF"/>
    <w:rsid w:val="000A4AE3"/>
    <w:rsid w:val="000A4C5A"/>
    <w:rsid w:val="000A4DB5"/>
    <w:rsid w:val="000A4F59"/>
    <w:rsid w:val="000A4FFB"/>
    <w:rsid w:val="000A53F1"/>
    <w:rsid w:val="000A562D"/>
    <w:rsid w:val="000A58F0"/>
    <w:rsid w:val="000A689E"/>
    <w:rsid w:val="000A6B16"/>
    <w:rsid w:val="000A6CBD"/>
    <w:rsid w:val="000A6D65"/>
    <w:rsid w:val="000A6F5D"/>
    <w:rsid w:val="000A7298"/>
    <w:rsid w:val="000A72B2"/>
    <w:rsid w:val="000A74A4"/>
    <w:rsid w:val="000A7523"/>
    <w:rsid w:val="000A79A0"/>
    <w:rsid w:val="000A7FE1"/>
    <w:rsid w:val="000B0533"/>
    <w:rsid w:val="000B067F"/>
    <w:rsid w:val="000B06A4"/>
    <w:rsid w:val="000B06E7"/>
    <w:rsid w:val="000B0742"/>
    <w:rsid w:val="000B0B7E"/>
    <w:rsid w:val="000B13E4"/>
    <w:rsid w:val="000B1FF6"/>
    <w:rsid w:val="000B20A6"/>
    <w:rsid w:val="000B28A0"/>
    <w:rsid w:val="000B29A9"/>
    <w:rsid w:val="000B2D58"/>
    <w:rsid w:val="000B3769"/>
    <w:rsid w:val="000B3933"/>
    <w:rsid w:val="000B39CC"/>
    <w:rsid w:val="000B3A46"/>
    <w:rsid w:val="000B42C7"/>
    <w:rsid w:val="000B45AB"/>
    <w:rsid w:val="000B46AA"/>
    <w:rsid w:val="000B48A6"/>
    <w:rsid w:val="000B48EE"/>
    <w:rsid w:val="000B4955"/>
    <w:rsid w:val="000B4AF0"/>
    <w:rsid w:val="000B4B4A"/>
    <w:rsid w:val="000B4E1C"/>
    <w:rsid w:val="000B4E54"/>
    <w:rsid w:val="000B51A9"/>
    <w:rsid w:val="000B5210"/>
    <w:rsid w:val="000B5595"/>
    <w:rsid w:val="000B5774"/>
    <w:rsid w:val="000B59CD"/>
    <w:rsid w:val="000B5A3B"/>
    <w:rsid w:val="000B5CD3"/>
    <w:rsid w:val="000B5E4E"/>
    <w:rsid w:val="000B5EF4"/>
    <w:rsid w:val="000B5F7E"/>
    <w:rsid w:val="000B5FDB"/>
    <w:rsid w:val="000B60AD"/>
    <w:rsid w:val="000B6402"/>
    <w:rsid w:val="000B6749"/>
    <w:rsid w:val="000B6808"/>
    <w:rsid w:val="000B6BF0"/>
    <w:rsid w:val="000B6EB4"/>
    <w:rsid w:val="000B753A"/>
    <w:rsid w:val="000B78CC"/>
    <w:rsid w:val="000B7AB7"/>
    <w:rsid w:val="000C004E"/>
    <w:rsid w:val="000C00D6"/>
    <w:rsid w:val="000C00E1"/>
    <w:rsid w:val="000C01AA"/>
    <w:rsid w:val="000C0320"/>
    <w:rsid w:val="000C0669"/>
    <w:rsid w:val="000C1053"/>
    <w:rsid w:val="000C10E0"/>
    <w:rsid w:val="000C1120"/>
    <w:rsid w:val="000C16BE"/>
    <w:rsid w:val="000C1743"/>
    <w:rsid w:val="000C1789"/>
    <w:rsid w:val="000C1CD0"/>
    <w:rsid w:val="000C1FCE"/>
    <w:rsid w:val="000C1FEF"/>
    <w:rsid w:val="000C23E8"/>
    <w:rsid w:val="000C24CB"/>
    <w:rsid w:val="000C2E21"/>
    <w:rsid w:val="000C2EA1"/>
    <w:rsid w:val="000C3397"/>
    <w:rsid w:val="000C33B0"/>
    <w:rsid w:val="000C33FE"/>
    <w:rsid w:val="000C36BC"/>
    <w:rsid w:val="000C3AAA"/>
    <w:rsid w:val="000C3CFA"/>
    <w:rsid w:val="000C3E15"/>
    <w:rsid w:val="000C3E64"/>
    <w:rsid w:val="000C42DD"/>
    <w:rsid w:val="000C44D1"/>
    <w:rsid w:val="000C49E8"/>
    <w:rsid w:val="000C4C19"/>
    <w:rsid w:val="000C4CE5"/>
    <w:rsid w:val="000C4CFD"/>
    <w:rsid w:val="000C4E93"/>
    <w:rsid w:val="000C565C"/>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13FE"/>
    <w:rsid w:val="000D1565"/>
    <w:rsid w:val="000D1DAC"/>
    <w:rsid w:val="000D1ECF"/>
    <w:rsid w:val="000D229C"/>
    <w:rsid w:val="000D24D5"/>
    <w:rsid w:val="000D263F"/>
    <w:rsid w:val="000D2694"/>
    <w:rsid w:val="000D26FD"/>
    <w:rsid w:val="000D2716"/>
    <w:rsid w:val="000D27A5"/>
    <w:rsid w:val="000D2CCE"/>
    <w:rsid w:val="000D2DC4"/>
    <w:rsid w:val="000D2FF8"/>
    <w:rsid w:val="000D317B"/>
    <w:rsid w:val="000D32E9"/>
    <w:rsid w:val="000D3972"/>
    <w:rsid w:val="000D39B7"/>
    <w:rsid w:val="000D3ADE"/>
    <w:rsid w:val="000D3B23"/>
    <w:rsid w:val="000D3D23"/>
    <w:rsid w:val="000D3FA1"/>
    <w:rsid w:val="000D4138"/>
    <w:rsid w:val="000D468C"/>
    <w:rsid w:val="000D4770"/>
    <w:rsid w:val="000D4B0E"/>
    <w:rsid w:val="000D4E77"/>
    <w:rsid w:val="000D4EA6"/>
    <w:rsid w:val="000D54DF"/>
    <w:rsid w:val="000D54F6"/>
    <w:rsid w:val="000D5564"/>
    <w:rsid w:val="000D56F0"/>
    <w:rsid w:val="000D5A1A"/>
    <w:rsid w:val="000D6219"/>
    <w:rsid w:val="000D66A0"/>
    <w:rsid w:val="000D6886"/>
    <w:rsid w:val="000D6940"/>
    <w:rsid w:val="000D6BD5"/>
    <w:rsid w:val="000D7139"/>
    <w:rsid w:val="000D722A"/>
    <w:rsid w:val="000D75A8"/>
    <w:rsid w:val="000D75C8"/>
    <w:rsid w:val="000D7816"/>
    <w:rsid w:val="000D7C8A"/>
    <w:rsid w:val="000D7F7B"/>
    <w:rsid w:val="000E02A8"/>
    <w:rsid w:val="000E02F8"/>
    <w:rsid w:val="000E07E6"/>
    <w:rsid w:val="000E0E20"/>
    <w:rsid w:val="000E122E"/>
    <w:rsid w:val="000E12FD"/>
    <w:rsid w:val="000E13C9"/>
    <w:rsid w:val="000E14ED"/>
    <w:rsid w:val="000E1506"/>
    <w:rsid w:val="000E1643"/>
    <w:rsid w:val="000E193E"/>
    <w:rsid w:val="000E199A"/>
    <w:rsid w:val="000E1AC6"/>
    <w:rsid w:val="000E1C08"/>
    <w:rsid w:val="000E20AB"/>
    <w:rsid w:val="000E21F2"/>
    <w:rsid w:val="000E222E"/>
    <w:rsid w:val="000E2459"/>
    <w:rsid w:val="000E263D"/>
    <w:rsid w:val="000E2B0F"/>
    <w:rsid w:val="000E2B5B"/>
    <w:rsid w:val="000E2F14"/>
    <w:rsid w:val="000E301C"/>
    <w:rsid w:val="000E31EC"/>
    <w:rsid w:val="000E332B"/>
    <w:rsid w:val="000E3347"/>
    <w:rsid w:val="000E3370"/>
    <w:rsid w:val="000E33B0"/>
    <w:rsid w:val="000E3457"/>
    <w:rsid w:val="000E36AD"/>
    <w:rsid w:val="000E3A8A"/>
    <w:rsid w:val="000E4077"/>
    <w:rsid w:val="000E409A"/>
    <w:rsid w:val="000E4196"/>
    <w:rsid w:val="000E4329"/>
    <w:rsid w:val="000E43E5"/>
    <w:rsid w:val="000E44A5"/>
    <w:rsid w:val="000E4992"/>
    <w:rsid w:val="000E4FB5"/>
    <w:rsid w:val="000E50A8"/>
    <w:rsid w:val="000E558F"/>
    <w:rsid w:val="000E569B"/>
    <w:rsid w:val="000E5A15"/>
    <w:rsid w:val="000E5A4D"/>
    <w:rsid w:val="000E5B1A"/>
    <w:rsid w:val="000E5D66"/>
    <w:rsid w:val="000E5D6F"/>
    <w:rsid w:val="000E5EA1"/>
    <w:rsid w:val="000E5EBD"/>
    <w:rsid w:val="000E6613"/>
    <w:rsid w:val="000E6799"/>
    <w:rsid w:val="000E6846"/>
    <w:rsid w:val="000E7713"/>
    <w:rsid w:val="000E78E0"/>
    <w:rsid w:val="000E7968"/>
    <w:rsid w:val="000E79F7"/>
    <w:rsid w:val="000E7AA3"/>
    <w:rsid w:val="000E7C81"/>
    <w:rsid w:val="000E7CB9"/>
    <w:rsid w:val="000F025B"/>
    <w:rsid w:val="000F07B6"/>
    <w:rsid w:val="000F0BBB"/>
    <w:rsid w:val="000F0BC7"/>
    <w:rsid w:val="000F0EAB"/>
    <w:rsid w:val="000F109B"/>
    <w:rsid w:val="000F1675"/>
    <w:rsid w:val="000F181E"/>
    <w:rsid w:val="000F182E"/>
    <w:rsid w:val="000F1BAA"/>
    <w:rsid w:val="000F1FC4"/>
    <w:rsid w:val="000F2041"/>
    <w:rsid w:val="000F2174"/>
    <w:rsid w:val="000F2569"/>
    <w:rsid w:val="000F2652"/>
    <w:rsid w:val="000F2C79"/>
    <w:rsid w:val="000F30B8"/>
    <w:rsid w:val="000F3233"/>
    <w:rsid w:val="000F3F70"/>
    <w:rsid w:val="000F3FDD"/>
    <w:rsid w:val="000F405F"/>
    <w:rsid w:val="000F40A4"/>
    <w:rsid w:val="000F4151"/>
    <w:rsid w:val="000F446E"/>
    <w:rsid w:val="000F44C6"/>
    <w:rsid w:val="000F4606"/>
    <w:rsid w:val="000F4691"/>
    <w:rsid w:val="000F48E1"/>
    <w:rsid w:val="000F4A04"/>
    <w:rsid w:val="000F4EAA"/>
    <w:rsid w:val="000F5047"/>
    <w:rsid w:val="000F50FA"/>
    <w:rsid w:val="000F550A"/>
    <w:rsid w:val="000F59C0"/>
    <w:rsid w:val="000F5EE5"/>
    <w:rsid w:val="000F622C"/>
    <w:rsid w:val="000F68A9"/>
    <w:rsid w:val="000F6965"/>
    <w:rsid w:val="000F6A7C"/>
    <w:rsid w:val="000F6B80"/>
    <w:rsid w:val="000F6E11"/>
    <w:rsid w:val="000F6E6D"/>
    <w:rsid w:val="000F74A0"/>
    <w:rsid w:val="000F74E7"/>
    <w:rsid w:val="000F75CB"/>
    <w:rsid w:val="000F796A"/>
    <w:rsid w:val="000F7A9D"/>
    <w:rsid w:val="000F7B91"/>
    <w:rsid w:val="000F7BD3"/>
    <w:rsid w:val="000F7D75"/>
    <w:rsid w:val="0010009A"/>
    <w:rsid w:val="001000C6"/>
    <w:rsid w:val="0010010F"/>
    <w:rsid w:val="00100151"/>
    <w:rsid w:val="001005F4"/>
    <w:rsid w:val="00100609"/>
    <w:rsid w:val="0010088B"/>
    <w:rsid w:val="0010092A"/>
    <w:rsid w:val="001009D8"/>
    <w:rsid w:val="00100BFE"/>
    <w:rsid w:val="00100DCC"/>
    <w:rsid w:val="00100F8F"/>
    <w:rsid w:val="001017C3"/>
    <w:rsid w:val="001018B4"/>
    <w:rsid w:val="00101C00"/>
    <w:rsid w:val="00101C0B"/>
    <w:rsid w:val="00101C17"/>
    <w:rsid w:val="00101C70"/>
    <w:rsid w:val="00101F72"/>
    <w:rsid w:val="00102107"/>
    <w:rsid w:val="001024B9"/>
    <w:rsid w:val="001027F0"/>
    <w:rsid w:val="0010348A"/>
    <w:rsid w:val="00103AA6"/>
    <w:rsid w:val="00103AC1"/>
    <w:rsid w:val="00103EA1"/>
    <w:rsid w:val="0010407E"/>
    <w:rsid w:val="00104084"/>
    <w:rsid w:val="00104424"/>
    <w:rsid w:val="001044A8"/>
    <w:rsid w:val="00104648"/>
    <w:rsid w:val="001049FA"/>
    <w:rsid w:val="00104ADF"/>
    <w:rsid w:val="00104C41"/>
    <w:rsid w:val="00104CD8"/>
    <w:rsid w:val="00104CE9"/>
    <w:rsid w:val="00104FC5"/>
    <w:rsid w:val="001051C3"/>
    <w:rsid w:val="001053B5"/>
    <w:rsid w:val="001057FE"/>
    <w:rsid w:val="001058AA"/>
    <w:rsid w:val="00105D36"/>
    <w:rsid w:val="00105E3E"/>
    <w:rsid w:val="0010634F"/>
    <w:rsid w:val="00106509"/>
    <w:rsid w:val="00106657"/>
    <w:rsid w:val="00106BB1"/>
    <w:rsid w:val="00106C56"/>
    <w:rsid w:val="0010720A"/>
    <w:rsid w:val="00107301"/>
    <w:rsid w:val="0010772F"/>
    <w:rsid w:val="00107943"/>
    <w:rsid w:val="00107AC5"/>
    <w:rsid w:val="00107CD1"/>
    <w:rsid w:val="00107DAD"/>
    <w:rsid w:val="00107EFF"/>
    <w:rsid w:val="00107F68"/>
    <w:rsid w:val="00107F8A"/>
    <w:rsid w:val="00107FF6"/>
    <w:rsid w:val="00110486"/>
    <w:rsid w:val="001104AC"/>
    <w:rsid w:val="00110539"/>
    <w:rsid w:val="0011055F"/>
    <w:rsid w:val="00110650"/>
    <w:rsid w:val="0011086D"/>
    <w:rsid w:val="00110973"/>
    <w:rsid w:val="00110CE9"/>
    <w:rsid w:val="00110EE1"/>
    <w:rsid w:val="001114B8"/>
    <w:rsid w:val="001119E6"/>
    <w:rsid w:val="00111BC1"/>
    <w:rsid w:val="00111C83"/>
    <w:rsid w:val="00112046"/>
    <w:rsid w:val="001120DD"/>
    <w:rsid w:val="001122C5"/>
    <w:rsid w:val="001124DB"/>
    <w:rsid w:val="00112C1D"/>
    <w:rsid w:val="00113106"/>
    <w:rsid w:val="001133CF"/>
    <w:rsid w:val="001134CF"/>
    <w:rsid w:val="00113571"/>
    <w:rsid w:val="001135C1"/>
    <w:rsid w:val="00113A4F"/>
    <w:rsid w:val="00113C1D"/>
    <w:rsid w:val="00113EC2"/>
    <w:rsid w:val="00114334"/>
    <w:rsid w:val="00114477"/>
    <w:rsid w:val="001147F0"/>
    <w:rsid w:val="0011481F"/>
    <w:rsid w:val="00114918"/>
    <w:rsid w:val="00114D51"/>
    <w:rsid w:val="00114EB0"/>
    <w:rsid w:val="00115181"/>
    <w:rsid w:val="001155C7"/>
    <w:rsid w:val="00115607"/>
    <w:rsid w:val="0011589D"/>
    <w:rsid w:val="00115CA3"/>
    <w:rsid w:val="00115D6C"/>
    <w:rsid w:val="0011620F"/>
    <w:rsid w:val="00116241"/>
    <w:rsid w:val="00116832"/>
    <w:rsid w:val="00116BE1"/>
    <w:rsid w:val="00116F58"/>
    <w:rsid w:val="00117242"/>
    <w:rsid w:val="00117B42"/>
    <w:rsid w:val="00117E84"/>
    <w:rsid w:val="00117EA1"/>
    <w:rsid w:val="001209DA"/>
    <w:rsid w:val="00120B19"/>
    <w:rsid w:val="00120DD7"/>
    <w:rsid w:val="001210BE"/>
    <w:rsid w:val="00121432"/>
    <w:rsid w:val="00121CA2"/>
    <w:rsid w:val="00121E49"/>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6D2"/>
    <w:rsid w:val="00123A36"/>
    <w:rsid w:val="00123CE3"/>
    <w:rsid w:val="00123D78"/>
    <w:rsid w:val="00123E30"/>
    <w:rsid w:val="00123E62"/>
    <w:rsid w:val="00124375"/>
    <w:rsid w:val="00124C50"/>
    <w:rsid w:val="00124CA4"/>
    <w:rsid w:val="0012513E"/>
    <w:rsid w:val="0012536F"/>
    <w:rsid w:val="0012569D"/>
    <w:rsid w:val="00125A22"/>
    <w:rsid w:val="00125CAD"/>
    <w:rsid w:val="00125CE7"/>
    <w:rsid w:val="001263EB"/>
    <w:rsid w:val="0012651A"/>
    <w:rsid w:val="00126539"/>
    <w:rsid w:val="0012657D"/>
    <w:rsid w:val="00126711"/>
    <w:rsid w:val="00126801"/>
    <w:rsid w:val="0012697C"/>
    <w:rsid w:val="00126BF7"/>
    <w:rsid w:val="00126E39"/>
    <w:rsid w:val="00126F79"/>
    <w:rsid w:val="0012785D"/>
    <w:rsid w:val="00127E80"/>
    <w:rsid w:val="0013006A"/>
    <w:rsid w:val="0013009B"/>
    <w:rsid w:val="0013068C"/>
    <w:rsid w:val="0013091C"/>
    <w:rsid w:val="00130C48"/>
    <w:rsid w:val="00130C8A"/>
    <w:rsid w:val="00130D29"/>
    <w:rsid w:val="00130F76"/>
    <w:rsid w:val="00131157"/>
    <w:rsid w:val="001312D1"/>
    <w:rsid w:val="00131565"/>
    <w:rsid w:val="0013156C"/>
    <w:rsid w:val="001317DE"/>
    <w:rsid w:val="00131814"/>
    <w:rsid w:val="001318C5"/>
    <w:rsid w:val="00131A86"/>
    <w:rsid w:val="00131CF2"/>
    <w:rsid w:val="00131EA5"/>
    <w:rsid w:val="0013204A"/>
    <w:rsid w:val="0013236D"/>
    <w:rsid w:val="00132590"/>
    <w:rsid w:val="00132625"/>
    <w:rsid w:val="0013285D"/>
    <w:rsid w:val="0013295F"/>
    <w:rsid w:val="00132CBD"/>
    <w:rsid w:val="00132F8A"/>
    <w:rsid w:val="0013303F"/>
    <w:rsid w:val="00133215"/>
    <w:rsid w:val="001338F7"/>
    <w:rsid w:val="001339EE"/>
    <w:rsid w:val="00133B16"/>
    <w:rsid w:val="00133F25"/>
    <w:rsid w:val="00134312"/>
    <w:rsid w:val="00134528"/>
    <w:rsid w:val="00134838"/>
    <w:rsid w:val="0013495E"/>
    <w:rsid w:val="0013518A"/>
    <w:rsid w:val="00135536"/>
    <w:rsid w:val="0013578A"/>
    <w:rsid w:val="00135B09"/>
    <w:rsid w:val="00135B2C"/>
    <w:rsid w:val="00136340"/>
    <w:rsid w:val="001364D5"/>
    <w:rsid w:val="0013680E"/>
    <w:rsid w:val="0013686E"/>
    <w:rsid w:val="00136FD2"/>
    <w:rsid w:val="001375B9"/>
    <w:rsid w:val="00137B99"/>
    <w:rsid w:val="00137E1A"/>
    <w:rsid w:val="00137EBD"/>
    <w:rsid w:val="00140232"/>
    <w:rsid w:val="0014087A"/>
    <w:rsid w:val="00140D02"/>
    <w:rsid w:val="00140F74"/>
    <w:rsid w:val="0014100B"/>
    <w:rsid w:val="0014124E"/>
    <w:rsid w:val="00141333"/>
    <w:rsid w:val="0014134B"/>
    <w:rsid w:val="0014157E"/>
    <w:rsid w:val="00141841"/>
    <w:rsid w:val="00141848"/>
    <w:rsid w:val="001419C4"/>
    <w:rsid w:val="00141A38"/>
    <w:rsid w:val="00141DD6"/>
    <w:rsid w:val="00141FF5"/>
    <w:rsid w:val="001420BF"/>
    <w:rsid w:val="00142348"/>
    <w:rsid w:val="00142363"/>
    <w:rsid w:val="00142515"/>
    <w:rsid w:val="001427F6"/>
    <w:rsid w:val="001428C2"/>
    <w:rsid w:val="00142BF4"/>
    <w:rsid w:val="00142D05"/>
    <w:rsid w:val="001433B0"/>
    <w:rsid w:val="00143479"/>
    <w:rsid w:val="0014366E"/>
    <w:rsid w:val="00143A64"/>
    <w:rsid w:val="00143A95"/>
    <w:rsid w:val="00143AAD"/>
    <w:rsid w:val="00143D23"/>
    <w:rsid w:val="00144164"/>
    <w:rsid w:val="001441CC"/>
    <w:rsid w:val="00144903"/>
    <w:rsid w:val="001449BE"/>
    <w:rsid w:val="00144AA6"/>
    <w:rsid w:val="00144C54"/>
    <w:rsid w:val="00144C56"/>
    <w:rsid w:val="00144E3D"/>
    <w:rsid w:val="00145B90"/>
    <w:rsid w:val="00145BC3"/>
    <w:rsid w:val="00145D46"/>
    <w:rsid w:val="00145F16"/>
    <w:rsid w:val="001460C6"/>
    <w:rsid w:val="00146178"/>
    <w:rsid w:val="00146190"/>
    <w:rsid w:val="0014638D"/>
    <w:rsid w:val="00146DE4"/>
    <w:rsid w:val="001470F4"/>
    <w:rsid w:val="0014736D"/>
    <w:rsid w:val="001473F0"/>
    <w:rsid w:val="001474A2"/>
    <w:rsid w:val="00147CB5"/>
    <w:rsid w:val="00147D5D"/>
    <w:rsid w:val="00147DDA"/>
    <w:rsid w:val="0015015C"/>
    <w:rsid w:val="00150464"/>
    <w:rsid w:val="001504A4"/>
    <w:rsid w:val="001504D2"/>
    <w:rsid w:val="0015093A"/>
    <w:rsid w:val="00150BA1"/>
    <w:rsid w:val="00150DBA"/>
    <w:rsid w:val="00150FD5"/>
    <w:rsid w:val="00151401"/>
    <w:rsid w:val="0015179C"/>
    <w:rsid w:val="00151C9E"/>
    <w:rsid w:val="0015210B"/>
    <w:rsid w:val="00152277"/>
    <w:rsid w:val="00152487"/>
    <w:rsid w:val="00152608"/>
    <w:rsid w:val="00152822"/>
    <w:rsid w:val="0015289D"/>
    <w:rsid w:val="00152E30"/>
    <w:rsid w:val="00153551"/>
    <w:rsid w:val="00153E87"/>
    <w:rsid w:val="001542E4"/>
    <w:rsid w:val="0015439F"/>
    <w:rsid w:val="001543ED"/>
    <w:rsid w:val="00154556"/>
    <w:rsid w:val="0015464A"/>
    <w:rsid w:val="0015480F"/>
    <w:rsid w:val="001548B9"/>
    <w:rsid w:val="00154954"/>
    <w:rsid w:val="00154A15"/>
    <w:rsid w:val="00154B7E"/>
    <w:rsid w:val="001550DC"/>
    <w:rsid w:val="0015526C"/>
    <w:rsid w:val="00155679"/>
    <w:rsid w:val="00155A86"/>
    <w:rsid w:val="00155D5C"/>
    <w:rsid w:val="00155F19"/>
    <w:rsid w:val="00155F1C"/>
    <w:rsid w:val="001560C7"/>
    <w:rsid w:val="0015641F"/>
    <w:rsid w:val="001564C3"/>
    <w:rsid w:val="001565B9"/>
    <w:rsid w:val="0015661A"/>
    <w:rsid w:val="00156A6C"/>
    <w:rsid w:val="00156D9F"/>
    <w:rsid w:val="00156E35"/>
    <w:rsid w:val="00156EE5"/>
    <w:rsid w:val="00157372"/>
    <w:rsid w:val="001573D2"/>
    <w:rsid w:val="001574C7"/>
    <w:rsid w:val="0015763A"/>
    <w:rsid w:val="00157755"/>
    <w:rsid w:val="00157BF2"/>
    <w:rsid w:val="00157D4A"/>
    <w:rsid w:val="00157E63"/>
    <w:rsid w:val="0016006A"/>
    <w:rsid w:val="0016044E"/>
    <w:rsid w:val="001606F6"/>
    <w:rsid w:val="00160DF5"/>
    <w:rsid w:val="00160EEA"/>
    <w:rsid w:val="00160F52"/>
    <w:rsid w:val="00161131"/>
    <w:rsid w:val="00161267"/>
    <w:rsid w:val="001613C5"/>
    <w:rsid w:val="001613F4"/>
    <w:rsid w:val="00161480"/>
    <w:rsid w:val="00161D65"/>
    <w:rsid w:val="0016244C"/>
    <w:rsid w:val="001625FE"/>
    <w:rsid w:val="0016271A"/>
    <w:rsid w:val="0016276E"/>
    <w:rsid w:val="00162CB7"/>
    <w:rsid w:val="00162F81"/>
    <w:rsid w:val="00163572"/>
    <w:rsid w:val="001636D5"/>
    <w:rsid w:val="00163A4C"/>
    <w:rsid w:val="00163A73"/>
    <w:rsid w:val="00163A85"/>
    <w:rsid w:val="00163AE1"/>
    <w:rsid w:val="00163C66"/>
    <w:rsid w:val="00163D58"/>
    <w:rsid w:val="00163E47"/>
    <w:rsid w:val="00163E5A"/>
    <w:rsid w:val="00163EEC"/>
    <w:rsid w:val="001648ED"/>
    <w:rsid w:val="00164BFC"/>
    <w:rsid w:val="00164CBC"/>
    <w:rsid w:val="00164FA6"/>
    <w:rsid w:val="00164FE0"/>
    <w:rsid w:val="00165014"/>
    <w:rsid w:val="00165781"/>
    <w:rsid w:val="0016594E"/>
    <w:rsid w:val="00166090"/>
    <w:rsid w:val="001660F9"/>
    <w:rsid w:val="00166925"/>
    <w:rsid w:val="00166ED1"/>
    <w:rsid w:val="001672F5"/>
    <w:rsid w:val="001676F8"/>
    <w:rsid w:val="00167915"/>
    <w:rsid w:val="001679FD"/>
    <w:rsid w:val="00167BA5"/>
    <w:rsid w:val="00167F21"/>
    <w:rsid w:val="001701FD"/>
    <w:rsid w:val="0017029E"/>
    <w:rsid w:val="00170695"/>
    <w:rsid w:val="00170809"/>
    <w:rsid w:val="001709FB"/>
    <w:rsid w:val="001709FD"/>
    <w:rsid w:val="00170A50"/>
    <w:rsid w:val="00170ED8"/>
    <w:rsid w:val="00170F99"/>
    <w:rsid w:val="0017100B"/>
    <w:rsid w:val="00171165"/>
    <w:rsid w:val="001712D1"/>
    <w:rsid w:val="001714C5"/>
    <w:rsid w:val="0017151E"/>
    <w:rsid w:val="001717CA"/>
    <w:rsid w:val="001718C9"/>
    <w:rsid w:val="0017190D"/>
    <w:rsid w:val="00171925"/>
    <w:rsid w:val="00171B03"/>
    <w:rsid w:val="00171F68"/>
    <w:rsid w:val="00172067"/>
    <w:rsid w:val="001720CF"/>
    <w:rsid w:val="00172AA1"/>
    <w:rsid w:val="00172DF1"/>
    <w:rsid w:val="00173709"/>
    <w:rsid w:val="00173956"/>
    <w:rsid w:val="00173C36"/>
    <w:rsid w:val="00173FC0"/>
    <w:rsid w:val="0017426D"/>
    <w:rsid w:val="00174403"/>
    <w:rsid w:val="00174588"/>
    <w:rsid w:val="00174CC9"/>
    <w:rsid w:val="00174ED1"/>
    <w:rsid w:val="00174EF1"/>
    <w:rsid w:val="001751EC"/>
    <w:rsid w:val="001752AB"/>
    <w:rsid w:val="00175B59"/>
    <w:rsid w:val="00175E8E"/>
    <w:rsid w:val="0017601C"/>
    <w:rsid w:val="00176267"/>
    <w:rsid w:val="00176CB8"/>
    <w:rsid w:val="00176E44"/>
    <w:rsid w:val="00176EA5"/>
    <w:rsid w:val="001772DA"/>
    <w:rsid w:val="00177369"/>
    <w:rsid w:val="001773AE"/>
    <w:rsid w:val="00177535"/>
    <w:rsid w:val="00177568"/>
    <w:rsid w:val="001775C4"/>
    <w:rsid w:val="001775C5"/>
    <w:rsid w:val="001778DC"/>
    <w:rsid w:val="00177ED9"/>
    <w:rsid w:val="00177F4F"/>
    <w:rsid w:val="0018017B"/>
    <w:rsid w:val="001806A3"/>
    <w:rsid w:val="00180EDF"/>
    <w:rsid w:val="00181069"/>
    <w:rsid w:val="001814D7"/>
    <w:rsid w:val="00181924"/>
    <w:rsid w:val="0018214F"/>
    <w:rsid w:val="001826E3"/>
    <w:rsid w:val="00182CBF"/>
    <w:rsid w:val="00182E60"/>
    <w:rsid w:val="00182EC2"/>
    <w:rsid w:val="00182F1C"/>
    <w:rsid w:val="00182F25"/>
    <w:rsid w:val="00182FEC"/>
    <w:rsid w:val="001832FA"/>
    <w:rsid w:val="00183C19"/>
    <w:rsid w:val="00183D0F"/>
    <w:rsid w:val="00183E54"/>
    <w:rsid w:val="0018404C"/>
    <w:rsid w:val="00184085"/>
    <w:rsid w:val="001841B2"/>
    <w:rsid w:val="001844F8"/>
    <w:rsid w:val="00184A19"/>
    <w:rsid w:val="00184A99"/>
    <w:rsid w:val="00184B02"/>
    <w:rsid w:val="00184EF7"/>
    <w:rsid w:val="001860A0"/>
    <w:rsid w:val="001860A1"/>
    <w:rsid w:val="001862E8"/>
    <w:rsid w:val="00186389"/>
    <w:rsid w:val="001870EA"/>
    <w:rsid w:val="001870F4"/>
    <w:rsid w:val="001872B4"/>
    <w:rsid w:val="0018761E"/>
    <w:rsid w:val="00187D20"/>
    <w:rsid w:val="00187E46"/>
    <w:rsid w:val="001902BF"/>
    <w:rsid w:val="001906B3"/>
    <w:rsid w:val="001908BE"/>
    <w:rsid w:val="0019097A"/>
    <w:rsid w:val="001913BA"/>
    <w:rsid w:val="00191430"/>
    <w:rsid w:val="0019143F"/>
    <w:rsid w:val="0019192B"/>
    <w:rsid w:val="00191D27"/>
    <w:rsid w:val="00192184"/>
    <w:rsid w:val="00192228"/>
    <w:rsid w:val="0019227A"/>
    <w:rsid w:val="0019264E"/>
    <w:rsid w:val="00192868"/>
    <w:rsid w:val="00192873"/>
    <w:rsid w:val="00192881"/>
    <w:rsid w:val="00192A7A"/>
    <w:rsid w:val="00192C6B"/>
    <w:rsid w:val="00192CA0"/>
    <w:rsid w:val="00193539"/>
    <w:rsid w:val="00193C48"/>
    <w:rsid w:val="00193ED0"/>
    <w:rsid w:val="00194775"/>
    <w:rsid w:val="00194A6C"/>
    <w:rsid w:val="00194A87"/>
    <w:rsid w:val="00194C56"/>
    <w:rsid w:val="00195650"/>
    <w:rsid w:val="00195759"/>
    <w:rsid w:val="00195767"/>
    <w:rsid w:val="001957D2"/>
    <w:rsid w:val="00195BDF"/>
    <w:rsid w:val="00195E36"/>
    <w:rsid w:val="0019624C"/>
    <w:rsid w:val="00196315"/>
    <w:rsid w:val="001963A1"/>
    <w:rsid w:val="00196463"/>
    <w:rsid w:val="00196C4C"/>
    <w:rsid w:val="00196E13"/>
    <w:rsid w:val="00196FD0"/>
    <w:rsid w:val="00197134"/>
    <w:rsid w:val="0019734A"/>
    <w:rsid w:val="00197717"/>
    <w:rsid w:val="001977C8"/>
    <w:rsid w:val="00197961"/>
    <w:rsid w:val="00197C01"/>
    <w:rsid w:val="00197C1F"/>
    <w:rsid w:val="00197C7B"/>
    <w:rsid w:val="00197D95"/>
    <w:rsid w:val="001A020E"/>
    <w:rsid w:val="001A026C"/>
    <w:rsid w:val="001A03F9"/>
    <w:rsid w:val="001A0BEA"/>
    <w:rsid w:val="001A127D"/>
    <w:rsid w:val="001A16FB"/>
    <w:rsid w:val="001A1B88"/>
    <w:rsid w:val="001A1BD4"/>
    <w:rsid w:val="001A1CFC"/>
    <w:rsid w:val="001A1F92"/>
    <w:rsid w:val="001A1FB8"/>
    <w:rsid w:val="001A2382"/>
    <w:rsid w:val="001A2A47"/>
    <w:rsid w:val="001A2C36"/>
    <w:rsid w:val="001A2CE5"/>
    <w:rsid w:val="001A2E37"/>
    <w:rsid w:val="001A2E74"/>
    <w:rsid w:val="001A32CC"/>
    <w:rsid w:val="001A34F0"/>
    <w:rsid w:val="001A36EC"/>
    <w:rsid w:val="001A38C1"/>
    <w:rsid w:val="001A3C8C"/>
    <w:rsid w:val="001A3E69"/>
    <w:rsid w:val="001A40AF"/>
    <w:rsid w:val="001A40D9"/>
    <w:rsid w:val="001A43BA"/>
    <w:rsid w:val="001A43F2"/>
    <w:rsid w:val="001A461B"/>
    <w:rsid w:val="001A48EE"/>
    <w:rsid w:val="001A5774"/>
    <w:rsid w:val="001A57B9"/>
    <w:rsid w:val="001A57E7"/>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0DA"/>
    <w:rsid w:val="001B023D"/>
    <w:rsid w:val="001B028B"/>
    <w:rsid w:val="001B02BF"/>
    <w:rsid w:val="001B0393"/>
    <w:rsid w:val="001B03F4"/>
    <w:rsid w:val="001B069C"/>
    <w:rsid w:val="001B0AA6"/>
    <w:rsid w:val="001B18DD"/>
    <w:rsid w:val="001B1A69"/>
    <w:rsid w:val="001B1B21"/>
    <w:rsid w:val="001B1BAA"/>
    <w:rsid w:val="001B1D9D"/>
    <w:rsid w:val="001B1FB4"/>
    <w:rsid w:val="001B238F"/>
    <w:rsid w:val="001B28FC"/>
    <w:rsid w:val="001B293A"/>
    <w:rsid w:val="001B2A8C"/>
    <w:rsid w:val="001B2C08"/>
    <w:rsid w:val="001B2C2B"/>
    <w:rsid w:val="001B2F86"/>
    <w:rsid w:val="001B2FCB"/>
    <w:rsid w:val="001B3340"/>
    <w:rsid w:val="001B348C"/>
    <w:rsid w:val="001B34B5"/>
    <w:rsid w:val="001B34C9"/>
    <w:rsid w:val="001B38ED"/>
    <w:rsid w:val="001B3D7B"/>
    <w:rsid w:val="001B3E18"/>
    <w:rsid w:val="001B3EA1"/>
    <w:rsid w:val="001B3F42"/>
    <w:rsid w:val="001B4028"/>
    <w:rsid w:val="001B415E"/>
    <w:rsid w:val="001B511A"/>
    <w:rsid w:val="001B5125"/>
    <w:rsid w:val="001B57B0"/>
    <w:rsid w:val="001B58B7"/>
    <w:rsid w:val="001B5C8B"/>
    <w:rsid w:val="001B5DDD"/>
    <w:rsid w:val="001B6250"/>
    <w:rsid w:val="001B6380"/>
    <w:rsid w:val="001B675E"/>
    <w:rsid w:val="001B68C4"/>
    <w:rsid w:val="001B6BAE"/>
    <w:rsid w:val="001B6C12"/>
    <w:rsid w:val="001B6C82"/>
    <w:rsid w:val="001B6CDE"/>
    <w:rsid w:val="001B7072"/>
    <w:rsid w:val="001B7368"/>
    <w:rsid w:val="001B7BB3"/>
    <w:rsid w:val="001B7BE3"/>
    <w:rsid w:val="001B7CA3"/>
    <w:rsid w:val="001B7D18"/>
    <w:rsid w:val="001B7F77"/>
    <w:rsid w:val="001C014C"/>
    <w:rsid w:val="001C022C"/>
    <w:rsid w:val="001C0255"/>
    <w:rsid w:val="001C0439"/>
    <w:rsid w:val="001C0672"/>
    <w:rsid w:val="001C08D1"/>
    <w:rsid w:val="001C0B38"/>
    <w:rsid w:val="001C0E5A"/>
    <w:rsid w:val="001C0F14"/>
    <w:rsid w:val="001C111C"/>
    <w:rsid w:val="001C1982"/>
    <w:rsid w:val="001C19C6"/>
    <w:rsid w:val="001C1D33"/>
    <w:rsid w:val="001C2152"/>
    <w:rsid w:val="001C24EE"/>
    <w:rsid w:val="001C280C"/>
    <w:rsid w:val="001C2AB9"/>
    <w:rsid w:val="001C2B2C"/>
    <w:rsid w:val="001C2D0E"/>
    <w:rsid w:val="001C2D1D"/>
    <w:rsid w:val="001C2D99"/>
    <w:rsid w:val="001C2DD3"/>
    <w:rsid w:val="001C2E1C"/>
    <w:rsid w:val="001C3022"/>
    <w:rsid w:val="001C30D5"/>
    <w:rsid w:val="001C335A"/>
    <w:rsid w:val="001C37B7"/>
    <w:rsid w:val="001C37F9"/>
    <w:rsid w:val="001C3839"/>
    <w:rsid w:val="001C391C"/>
    <w:rsid w:val="001C3AD1"/>
    <w:rsid w:val="001C3D4E"/>
    <w:rsid w:val="001C3E9B"/>
    <w:rsid w:val="001C466B"/>
    <w:rsid w:val="001C4757"/>
    <w:rsid w:val="001C47CB"/>
    <w:rsid w:val="001C4A8B"/>
    <w:rsid w:val="001C4F61"/>
    <w:rsid w:val="001C54CA"/>
    <w:rsid w:val="001C54FF"/>
    <w:rsid w:val="001C5538"/>
    <w:rsid w:val="001C5597"/>
    <w:rsid w:val="001C5BE2"/>
    <w:rsid w:val="001C5D54"/>
    <w:rsid w:val="001C5E3F"/>
    <w:rsid w:val="001C5F62"/>
    <w:rsid w:val="001C612F"/>
    <w:rsid w:val="001C6466"/>
    <w:rsid w:val="001C65C4"/>
    <w:rsid w:val="001C6A82"/>
    <w:rsid w:val="001C6AF5"/>
    <w:rsid w:val="001C6D9E"/>
    <w:rsid w:val="001C6FB6"/>
    <w:rsid w:val="001C72FA"/>
    <w:rsid w:val="001C761A"/>
    <w:rsid w:val="001C77BD"/>
    <w:rsid w:val="001C794D"/>
    <w:rsid w:val="001C7A09"/>
    <w:rsid w:val="001D006E"/>
    <w:rsid w:val="001D0282"/>
    <w:rsid w:val="001D0284"/>
    <w:rsid w:val="001D0CDF"/>
    <w:rsid w:val="001D0D52"/>
    <w:rsid w:val="001D0EE7"/>
    <w:rsid w:val="001D0F96"/>
    <w:rsid w:val="001D1101"/>
    <w:rsid w:val="001D14A4"/>
    <w:rsid w:val="001D1B1C"/>
    <w:rsid w:val="001D1BAE"/>
    <w:rsid w:val="001D1CEE"/>
    <w:rsid w:val="001D1DBE"/>
    <w:rsid w:val="001D1EAA"/>
    <w:rsid w:val="001D2040"/>
    <w:rsid w:val="001D21C3"/>
    <w:rsid w:val="001D2861"/>
    <w:rsid w:val="001D2965"/>
    <w:rsid w:val="001D29EC"/>
    <w:rsid w:val="001D2A70"/>
    <w:rsid w:val="001D2A8D"/>
    <w:rsid w:val="001D2CA9"/>
    <w:rsid w:val="001D2F91"/>
    <w:rsid w:val="001D3056"/>
    <w:rsid w:val="001D30D7"/>
    <w:rsid w:val="001D3217"/>
    <w:rsid w:val="001D321A"/>
    <w:rsid w:val="001D32ED"/>
    <w:rsid w:val="001D344F"/>
    <w:rsid w:val="001D355D"/>
    <w:rsid w:val="001D36E6"/>
    <w:rsid w:val="001D39C9"/>
    <w:rsid w:val="001D3A7F"/>
    <w:rsid w:val="001D3F1A"/>
    <w:rsid w:val="001D4014"/>
    <w:rsid w:val="001D46E9"/>
    <w:rsid w:val="001D473A"/>
    <w:rsid w:val="001D48D9"/>
    <w:rsid w:val="001D4BD7"/>
    <w:rsid w:val="001D4E26"/>
    <w:rsid w:val="001D4E82"/>
    <w:rsid w:val="001D4F87"/>
    <w:rsid w:val="001D4FA8"/>
    <w:rsid w:val="001D504E"/>
    <w:rsid w:val="001D54F0"/>
    <w:rsid w:val="001D551D"/>
    <w:rsid w:val="001D601D"/>
    <w:rsid w:val="001D6436"/>
    <w:rsid w:val="001D64D3"/>
    <w:rsid w:val="001D64DB"/>
    <w:rsid w:val="001D6757"/>
    <w:rsid w:val="001D6908"/>
    <w:rsid w:val="001D6947"/>
    <w:rsid w:val="001D6E15"/>
    <w:rsid w:val="001D6F72"/>
    <w:rsid w:val="001D70C8"/>
    <w:rsid w:val="001D711B"/>
    <w:rsid w:val="001D7306"/>
    <w:rsid w:val="001D7B4B"/>
    <w:rsid w:val="001D7C5C"/>
    <w:rsid w:val="001E0026"/>
    <w:rsid w:val="001E0179"/>
    <w:rsid w:val="001E01F7"/>
    <w:rsid w:val="001E0518"/>
    <w:rsid w:val="001E07D3"/>
    <w:rsid w:val="001E0A31"/>
    <w:rsid w:val="001E0B57"/>
    <w:rsid w:val="001E0B82"/>
    <w:rsid w:val="001E0E99"/>
    <w:rsid w:val="001E1045"/>
    <w:rsid w:val="001E1459"/>
    <w:rsid w:val="001E15B9"/>
    <w:rsid w:val="001E1884"/>
    <w:rsid w:val="001E1A4D"/>
    <w:rsid w:val="001E1AF0"/>
    <w:rsid w:val="001E1AF3"/>
    <w:rsid w:val="001E1B44"/>
    <w:rsid w:val="001E2219"/>
    <w:rsid w:val="001E26CF"/>
    <w:rsid w:val="001E2D2C"/>
    <w:rsid w:val="001E2E11"/>
    <w:rsid w:val="001E2E41"/>
    <w:rsid w:val="001E2F66"/>
    <w:rsid w:val="001E3038"/>
    <w:rsid w:val="001E35AF"/>
    <w:rsid w:val="001E35E2"/>
    <w:rsid w:val="001E3741"/>
    <w:rsid w:val="001E3784"/>
    <w:rsid w:val="001E37E2"/>
    <w:rsid w:val="001E39AC"/>
    <w:rsid w:val="001E3E96"/>
    <w:rsid w:val="001E41F3"/>
    <w:rsid w:val="001E4840"/>
    <w:rsid w:val="001E4AA3"/>
    <w:rsid w:val="001E50E2"/>
    <w:rsid w:val="001E51FD"/>
    <w:rsid w:val="001E58DD"/>
    <w:rsid w:val="001E5ADC"/>
    <w:rsid w:val="001E5BAD"/>
    <w:rsid w:val="001E6065"/>
    <w:rsid w:val="001E6078"/>
    <w:rsid w:val="001E62B6"/>
    <w:rsid w:val="001E6312"/>
    <w:rsid w:val="001E634A"/>
    <w:rsid w:val="001E63B8"/>
    <w:rsid w:val="001E69F0"/>
    <w:rsid w:val="001E6D45"/>
    <w:rsid w:val="001E6EDF"/>
    <w:rsid w:val="001E706F"/>
    <w:rsid w:val="001E7450"/>
    <w:rsid w:val="001E7BA1"/>
    <w:rsid w:val="001E7D40"/>
    <w:rsid w:val="001E7D6F"/>
    <w:rsid w:val="001E7DC9"/>
    <w:rsid w:val="001E7DE9"/>
    <w:rsid w:val="001F0073"/>
    <w:rsid w:val="001F014A"/>
    <w:rsid w:val="001F0201"/>
    <w:rsid w:val="001F032C"/>
    <w:rsid w:val="001F06F3"/>
    <w:rsid w:val="001F092E"/>
    <w:rsid w:val="001F0B76"/>
    <w:rsid w:val="001F0C66"/>
    <w:rsid w:val="001F0CA1"/>
    <w:rsid w:val="001F10EF"/>
    <w:rsid w:val="001F1109"/>
    <w:rsid w:val="001F1882"/>
    <w:rsid w:val="001F1ADD"/>
    <w:rsid w:val="001F1C2F"/>
    <w:rsid w:val="001F1C85"/>
    <w:rsid w:val="001F1DAF"/>
    <w:rsid w:val="001F1E0B"/>
    <w:rsid w:val="001F1EFE"/>
    <w:rsid w:val="001F22B5"/>
    <w:rsid w:val="001F2538"/>
    <w:rsid w:val="001F2A5E"/>
    <w:rsid w:val="001F2CF1"/>
    <w:rsid w:val="001F2CFC"/>
    <w:rsid w:val="001F2ECB"/>
    <w:rsid w:val="001F31A1"/>
    <w:rsid w:val="001F334E"/>
    <w:rsid w:val="001F374B"/>
    <w:rsid w:val="001F3A44"/>
    <w:rsid w:val="001F3BDF"/>
    <w:rsid w:val="001F3C72"/>
    <w:rsid w:val="001F3FE4"/>
    <w:rsid w:val="001F41A2"/>
    <w:rsid w:val="001F41E6"/>
    <w:rsid w:val="001F4480"/>
    <w:rsid w:val="001F46A0"/>
    <w:rsid w:val="001F47B3"/>
    <w:rsid w:val="001F49DB"/>
    <w:rsid w:val="001F4AED"/>
    <w:rsid w:val="001F5963"/>
    <w:rsid w:val="001F5AB5"/>
    <w:rsid w:val="001F5B17"/>
    <w:rsid w:val="001F5B85"/>
    <w:rsid w:val="001F5C1D"/>
    <w:rsid w:val="001F5C69"/>
    <w:rsid w:val="001F6117"/>
    <w:rsid w:val="001F6330"/>
    <w:rsid w:val="001F6764"/>
    <w:rsid w:val="001F6BF4"/>
    <w:rsid w:val="001F6F17"/>
    <w:rsid w:val="001F71B0"/>
    <w:rsid w:val="001F7646"/>
    <w:rsid w:val="001F7718"/>
    <w:rsid w:val="001F78E4"/>
    <w:rsid w:val="001F7A97"/>
    <w:rsid w:val="00200227"/>
    <w:rsid w:val="0020029C"/>
    <w:rsid w:val="00200340"/>
    <w:rsid w:val="00200733"/>
    <w:rsid w:val="00200982"/>
    <w:rsid w:val="00200A49"/>
    <w:rsid w:val="00200D0E"/>
    <w:rsid w:val="00200E3B"/>
    <w:rsid w:val="002010F1"/>
    <w:rsid w:val="0020116F"/>
    <w:rsid w:val="00201319"/>
    <w:rsid w:val="0020138F"/>
    <w:rsid w:val="00201B30"/>
    <w:rsid w:val="00201CF4"/>
    <w:rsid w:val="002020E0"/>
    <w:rsid w:val="002023A8"/>
    <w:rsid w:val="002023FE"/>
    <w:rsid w:val="00202401"/>
    <w:rsid w:val="00202436"/>
    <w:rsid w:val="00202471"/>
    <w:rsid w:val="0020268A"/>
    <w:rsid w:val="0020274B"/>
    <w:rsid w:val="002027DD"/>
    <w:rsid w:val="00202E29"/>
    <w:rsid w:val="00203359"/>
    <w:rsid w:val="00203AAF"/>
    <w:rsid w:val="00203DF6"/>
    <w:rsid w:val="002042A1"/>
    <w:rsid w:val="002043B1"/>
    <w:rsid w:val="0020476B"/>
    <w:rsid w:val="00205294"/>
    <w:rsid w:val="00205365"/>
    <w:rsid w:val="002053DA"/>
    <w:rsid w:val="0020540C"/>
    <w:rsid w:val="002054F9"/>
    <w:rsid w:val="0020587A"/>
    <w:rsid w:val="00205A54"/>
    <w:rsid w:val="00205B9C"/>
    <w:rsid w:val="00205F8A"/>
    <w:rsid w:val="00206268"/>
    <w:rsid w:val="002063ED"/>
    <w:rsid w:val="00206464"/>
    <w:rsid w:val="00206603"/>
    <w:rsid w:val="0020679A"/>
    <w:rsid w:val="0020693D"/>
    <w:rsid w:val="00206994"/>
    <w:rsid w:val="00206A83"/>
    <w:rsid w:val="00206C06"/>
    <w:rsid w:val="00206C30"/>
    <w:rsid w:val="00207048"/>
    <w:rsid w:val="0020704E"/>
    <w:rsid w:val="0020756D"/>
    <w:rsid w:val="002075F6"/>
    <w:rsid w:val="002076BC"/>
    <w:rsid w:val="0020776E"/>
    <w:rsid w:val="00207793"/>
    <w:rsid w:val="00207C1F"/>
    <w:rsid w:val="00207EC8"/>
    <w:rsid w:val="0021023A"/>
    <w:rsid w:val="00210609"/>
    <w:rsid w:val="002106AE"/>
    <w:rsid w:val="002107B2"/>
    <w:rsid w:val="00210900"/>
    <w:rsid w:val="00210D8A"/>
    <w:rsid w:val="0021121D"/>
    <w:rsid w:val="00211305"/>
    <w:rsid w:val="0021137C"/>
    <w:rsid w:val="00211397"/>
    <w:rsid w:val="002113F7"/>
    <w:rsid w:val="0021160E"/>
    <w:rsid w:val="002118C4"/>
    <w:rsid w:val="00211AD6"/>
    <w:rsid w:val="00211BEE"/>
    <w:rsid w:val="00211EAD"/>
    <w:rsid w:val="002120CA"/>
    <w:rsid w:val="002122F2"/>
    <w:rsid w:val="00212651"/>
    <w:rsid w:val="002126B2"/>
    <w:rsid w:val="00212FBC"/>
    <w:rsid w:val="0021305E"/>
    <w:rsid w:val="002134D6"/>
    <w:rsid w:val="00213572"/>
    <w:rsid w:val="0021357E"/>
    <w:rsid w:val="00213721"/>
    <w:rsid w:val="00213BE7"/>
    <w:rsid w:val="00213CAA"/>
    <w:rsid w:val="00213E08"/>
    <w:rsid w:val="00214991"/>
    <w:rsid w:val="00214C93"/>
    <w:rsid w:val="00214E65"/>
    <w:rsid w:val="00214F39"/>
    <w:rsid w:val="0021539D"/>
    <w:rsid w:val="00215A0A"/>
    <w:rsid w:val="00215B16"/>
    <w:rsid w:val="00216035"/>
    <w:rsid w:val="002161FE"/>
    <w:rsid w:val="00216915"/>
    <w:rsid w:val="00216DA6"/>
    <w:rsid w:val="00216FD5"/>
    <w:rsid w:val="00217097"/>
    <w:rsid w:val="002170DA"/>
    <w:rsid w:val="002177B7"/>
    <w:rsid w:val="0021785D"/>
    <w:rsid w:val="00217874"/>
    <w:rsid w:val="00217C8B"/>
    <w:rsid w:val="00217EF6"/>
    <w:rsid w:val="00220321"/>
    <w:rsid w:val="00220898"/>
    <w:rsid w:val="00220A97"/>
    <w:rsid w:val="00220BB6"/>
    <w:rsid w:val="00220F2A"/>
    <w:rsid w:val="00220F43"/>
    <w:rsid w:val="00220F94"/>
    <w:rsid w:val="00221045"/>
    <w:rsid w:val="00221078"/>
    <w:rsid w:val="0022148B"/>
    <w:rsid w:val="002214AD"/>
    <w:rsid w:val="002216F7"/>
    <w:rsid w:val="0022182B"/>
    <w:rsid w:val="00221854"/>
    <w:rsid w:val="002218AE"/>
    <w:rsid w:val="002218E3"/>
    <w:rsid w:val="002219C5"/>
    <w:rsid w:val="00221C32"/>
    <w:rsid w:val="00221F5F"/>
    <w:rsid w:val="00221F8D"/>
    <w:rsid w:val="00221FB5"/>
    <w:rsid w:val="0022219E"/>
    <w:rsid w:val="002225F6"/>
    <w:rsid w:val="00222B71"/>
    <w:rsid w:val="00222D12"/>
    <w:rsid w:val="0022308A"/>
    <w:rsid w:val="002230C8"/>
    <w:rsid w:val="002235DD"/>
    <w:rsid w:val="0022371B"/>
    <w:rsid w:val="00223971"/>
    <w:rsid w:val="00223C29"/>
    <w:rsid w:val="00223C62"/>
    <w:rsid w:val="00223D61"/>
    <w:rsid w:val="00223FAE"/>
    <w:rsid w:val="00223FC3"/>
    <w:rsid w:val="0022418F"/>
    <w:rsid w:val="00224294"/>
    <w:rsid w:val="002242FB"/>
    <w:rsid w:val="0022499C"/>
    <w:rsid w:val="00224AAE"/>
    <w:rsid w:val="00224B6C"/>
    <w:rsid w:val="00224DBE"/>
    <w:rsid w:val="0022544D"/>
    <w:rsid w:val="00225BF4"/>
    <w:rsid w:val="002261DC"/>
    <w:rsid w:val="002263AA"/>
    <w:rsid w:val="00226616"/>
    <w:rsid w:val="00226774"/>
    <w:rsid w:val="00226794"/>
    <w:rsid w:val="00226AF5"/>
    <w:rsid w:val="00226B5D"/>
    <w:rsid w:val="00226F31"/>
    <w:rsid w:val="00226FD5"/>
    <w:rsid w:val="002274EA"/>
    <w:rsid w:val="002275B6"/>
    <w:rsid w:val="002277A5"/>
    <w:rsid w:val="00227AE5"/>
    <w:rsid w:val="00227DAD"/>
    <w:rsid w:val="00227FCC"/>
    <w:rsid w:val="00230025"/>
    <w:rsid w:val="00230383"/>
    <w:rsid w:val="0023049E"/>
    <w:rsid w:val="0023059E"/>
    <w:rsid w:val="00230899"/>
    <w:rsid w:val="002313BF"/>
    <w:rsid w:val="00231627"/>
    <w:rsid w:val="00231651"/>
    <w:rsid w:val="00231D25"/>
    <w:rsid w:val="00231E54"/>
    <w:rsid w:val="00231F36"/>
    <w:rsid w:val="002320A9"/>
    <w:rsid w:val="002321E8"/>
    <w:rsid w:val="00232250"/>
    <w:rsid w:val="002322F7"/>
    <w:rsid w:val="00232317"/>
    <w:rsid w:val="002323C1"/>
    <w:rsid w:val="00232859"/>
    <w:rsid w:val="00232984"/>
    <w:rsid w:val="00232A90"/>
    <w:rsid w:val="00232AAD"/>
    <w:rsid w:val="00232AF7"/>
    <w:rsid w:val="00232BE0"/>
    <w:rsid w:val="00232E93"/>
    <w:rsid w:val="00232FC9"/>
    <w:rsid w:val="00233038"/>
    <w:rsid w:val="0023310B"/>
    <w:rsid w:val="002332F7"/>
    <w:rsid w:val="0023360F"/>
    <w:rsid w:val="00233755"/>
    <w:rsid w:val="00233856"/>
    <w:rsid w:val="00233DA2"/>
    <w:rsid w:val="00233DD6"/>
    <w:rsid w:val="00233FC1"/>
    <w:rsid w:val="0023401B"/>
    <w:rsid w:val="00234033"/>
    <w:rsid w:val="0023414A"/>
    <w:rsid w:val="0023426F"/>
    <w:rsid w:val="00234470"/>
    <w:rsid w:val="00234668"/>
    <w:rsid w:val="0023479C"/>
    <w:rsid w:val="00234CDD"/>
    <w:rsid w:val="00234E57"/>
    <w:rsid w:val="00234F69"/>
    <w:rsid w:val="00235251"/>
    <w:rsid w:val="002352FF"/>
    <w:rsid w:val="0023578C"/>
    <w:rsid w:val="0023598A"/>
    <w:rsid w:val="00235B4C"/>
    <w:rsid w:val="00235B8C"/>
    <w:rsid w:val="00235EBD"/>
    <w:rsid w:val="00235EDD"/>
    <w:rsid w:val="00235F0E"/>
    <w:rsid w:val="00236238"/>
    <w:rsid w:val="002365BE"/>
    <w:rsid w:val="00236613"/>
    <w:rsid w:val="00236705"/>
    <w:rsid w:val="0023683D"/>
    <w:rsid w:val="00236B4A"/>
    <w:rsid w:val="00236B55"/>
    <w:rsid w:val="00236DB0"/>
    <w:rsid w:val="00237107"/>
    <w:rsid w:val="002372FC"/>
    <w:rsid w:val="0023734B"/>
    <w:rsid w:val="00237361"/>
    <w:rsid w:val="002376A3"/>
    <w:rsid w:val="0023792B"/>
    <w:rsid w:val="002379A1"/>
    <w:rsid w:val="00237A96"/>
    <w:rsid w:val="00237C27"/>
    <w:rsid w:val="00237F5C"/>
    <w:rsid w:val="00240118"/>
    <w:rsid w:val="002407DF"/>
    <w:rsid w:val="00240833"/>
    <w:rsid w:val="00240947"/>
    <w:rsid w:val="00240B80"/>
    <w:rsid w:val="00240BB6"/>
    <w:rsid w:val="00241973"/>
    <w:rsid w:val="00241984"/>
    <w:rsid w:val="00241BBD"/>
    <w:rsid w:val="00241BC5"/>
    <w:rsid w:val="00241FED"/>
    <w:rsid w:val="0024216B"/>
    <w:rsid w:val="002421BB"/>
    <w:rsid w:val="00242797"/>
    <w:rsid w:val="0024283C"/>
    <w:rsid w:val="00242867"/>
    <w:rsid w:val="00242AA3"/>
    <w:rsid w:val="00242F17"/>
    <w:rsid w:val="0024335F"/>
    <w:rsid w:val="002434AF"/>
    <w:rsid w:val="002436BC"/>
    <w:rsid w:val="00243712"/>
    <w:rsid w:val="002437A0"/>
    <w:rsid w:val="002437D6"/>
    <w:rsid w:val="002439D2"/>
    <w:rsid w:val="00243BC1"/>
    <w:rsid w:val="00243CAA"/>
    <w:rsid w:val="002440A9"/>
    <w:rsid w:val="002442FB"/>
    <w:rsid w:val="00244332"/>
    <w:rsid w:val="002443EC"/>
    <w:rsid w:val="00244437"/>
    <w:rsid w:val="00244653"/>
    <w:rsid w:val="002447E0"/>
    <w:rsid w:val="002447E8"/>
    <w:rsid w:val="00244A27"/>
    <w:rsid w:val="00244A72"/>
    <w:rsid w:val="00244EFE"/>
    <w:rsid w:val="00245492"/>
    <w:rsid w:val="00245B23"/>
    <w:rsid w:val="00245DF3"/>
    <w:rsid w:val="0024600E"/>
    <w:rsid w:val="002468C2"/>
    <w:rsid w:val="002469BB"/>
    <w:rsid w:val="00246B2E"/>
    <w:rsid w:val="00246B34"/>
    <w:rsid w:val="00246BD0"/>
    <w:rsid w:val="00246CBC"/>
    <w:rsid w:val="00246CC3"/>
    <w:rsid w:val="00246DE8"/>
    <w:rsid w:val="0024706B"/>
    <w:rsid w:val="002474EF"/>
    <w:rsid w:val="002477ED"/>
    <w:rsid w:val="00247998"/>
    <w:rsid w:val="002479C8"/>
    <w:rsid w:val="00247C17"/>
    <w:rsid w:val="00247CCB"/>
    <w:rsid w:val="00247CD9"/>
    <w:rsid w:val="00247D81"/>
    <w:rsid w:val="002501CA"/>
    <w:rsid w:val="0025022A"/>
    <w:rsid w:val="00250790"/>
    <w:rsid w:val="00250854"/>
    <w:rsid w:val="00250932"/>
    <w:rsid w:val="00250C68"/>
    <w:rsid w:val="00251025"/>
    <w:rsid w:val="00251107"/>
    <w:rsid w:val="002512E1"/>
    <w:rsid w:val="002516A4"/>
    <w:rsid w:val="0025193E"/>
    <w:rsid w:val="0025216C"/>
    <w:rsid w:val="00252198"/>
    <w:rsid w:val="0025228F"/>
    <w:rsid w:val="002522B8"/>
    <w:rsid w:val="0025271B"/>
    <w:rsid w:val="0025284F"/>
    <w:rsid w:val="002528D0"/>
    <w:rsid w:val="00252CA8"/>
    <w:rsid w:val="00252FD0"/>
    <w:rsid w:val="002530BE"/>
    <w:rsid w:val="0025372A"/>
    <w:rsid w:val="00253B42"/>
    <w:rsid w:val="00253C17"/>
    <w:rsid w:val="0025455B"/>
    <w:rsid w:val="00254902"/>
    <w:rsid w:val="00254A2D"/>
    <w:rsid w:val="00254C39"/>
    <w:rsid w:val="002551EE"/>
    <w:rsid w:val="00255ABB"/>
    <w:rsid w:val="00255C8F"/>
    <w:rsid w:val="00255E0F"/>
    <w:rsid w:val="00255EC1"/>
    <w:rsid w:val="0025685F"/>
    <w:rsid w:val="00256A0F"/>
    <w:rsid w:val="00257186"/>
    <w:rsid w:val="00257195"/>
    <w:rsid w:val="002571DD"/>
    <w:rsid w:val="002574A8"/>
    <w:rsid w:val="00257569"/>
    <w:rsid w:val="00257822"/>
    <w:rsid w:val="002578D8"/>
    <w:rsid w:val="00257975"/>
    <w:rsid w:val="00257DF3"/>
    <w:rsid w:val="00260856"/>
    <w:rsid w:val="0026092B"/>
    <w:rsid w:val="00260B73"/>
    <w:rsid w:val="00260DAA"/>
    <w:rsid w:val="00260E1D"/>
    <w:rsid w:val="00261174"/>
    <w:rsid w:val="002612FE"/>
    <w:rsid w:val="002613A5"/>
    <w:rsid w:val="00261568"/>
    <w:rsid w:val="00261753"/>
    <w:rsid w:val="00261A7E"/>
    <w:rsid w:val="00261C9F"/>
    <w:rsid w:val="00261CA4"/>
    <w:rsid w:val="00261F17"/>
    <w:rsid w:val="00261FDC"/>
    <w:rsid w:val="0026207C"/>
    <w:rsid w:val="00262272"/>
    <w:rsid w:val="00262389"/>
    <w:rsid w:val="00262696"/>
    <w:rsid w:val="00262759"/>
    <w:rsid w:val="00262B27"/>
    <w:rsid w:val="00262C87"/>
    <w:rsid w:val="00262E07"/>
    <w:rsid w:val="00263163"/>
    <w:rsid w:val="002631E7"/>
    <w:rsid w:val="0026321A"/>
    <w:rsid w:val="00263822"/>
    <w:rsid w:val="00263B27"/>
    <w:rsid w:val="00263E15"/>
    <w:rsid w:val="00263ED6"/>
    <w:rsid w:val="0026421A"/>
    <w:rsid w:val="002643DE"/>
    <w:rsid w:val="00264452"/>
    <w:rsid w:val="002644E4"/>
    <w:rsid w:val="00264CCC"/>
    <w:rsid w:val="00265476"/>
    <w:rsid w:val="00265497"/>
    <w:rsid w:val="002657F9"/>
    <w:rsid w:val="0026583A"/>
    <w:rsid w:val="00265CC0"/>
    <w:rsid w:val="00265CEA"/>
    <w:rsid w:val="00266102"/>
    <w:rsid w:val="002662B0"/>
    <w:rsid w:val="00266428"/>
    <w:rsid w:val="002664D4"/>
    <w:rsid w:val="00266573"/>
    <w:rsid w:val="0026664A"/>
    <w:rsid w:val="00266A59"/>
    <w:rsid w:val="00266E61"/>
    <w:rsid w:val="00266E6B"/>
    <w:rsid w:val="00266F8E"/>
    <w:rsid w:val="002670B0"/>
    <w:rsid w:val="00267651"/>
    <w:rsid w:val="00267712"/>
    <w:rsid w:val="00267803"/>
    <w:rsid w:val="00267881"/>
    <w:rsid w:val="0027001A"/>
    <w:rsid w:val="002700C5"/>
    <w:rsid w:val="002702FC"/>
    <w:rsid w:val="00270446"/>
    <w:rsid w:val="0027044B"/>
    <w:rsid w:val="00270450"/>
    <w:rsid w:val="00270800"/>
    <w:rsid w:val="00270C37"/>
    <w:rsid w:val="00270C3A"/>
    <w:rsid w:val="00270D22"/>
    <w:rsid w:val="00271332"/>
    <w:rsid w:val="002713C3"/>
    <w:rsid w:val="00271579"/>
    <w:rsid w:val="002723F2"/>
    <w:rsid w:val="0027262A"/>
    <w:rsid w:val="0027268B"/>
    <w:rsid w:val="00272C49"/>
    <w:rsid w:val="00272E24"/>
    <w:rsid w:val="00272FA1"/>
    <w:rsid w:val="00273043"/>
    <w:rsid w:val="00273089"/>
    <w:rsid w:val="002733A5"/>
    <w:rsid w:val="00273821"/>
    <w:rsid w:val="00273970"/>
    <w:rsid w:val="00273B46"/>
    <w:rsid w:val="00273EB4"/>
    <w:rsid w:val="00273FC1"/>
    <w:rsid w:val="002740E2"/>
    <w:rsid w:val="002742F7"/>
    <w:rsid w:val="0027462C"/>
    <w:rsid w:val="00274641"/>
    <w:rsid w:val="0027469A"/>
    <w:rsid w:val="002746F7"/>
    <w:rsid w:val="002749D7"/>
    <w:rsid w:val="00274E67"/>
    <w:rsid w:val="00274EC6"/>
    <w:rsid w:val="002758DC"/>
    <w:rsid w:val="00275991"/>
    <w:rsid w:val="00275D12"/>
    <w:rsid w:val="002760F7"/>
    <w:rsid w:val="00276487"/>
    <w:rsid w:val="002764D2"/>
    <w:rsid w:val="0027681A"/>
    <w:rsid w:val="00276CD2"/>
    <w:rsid w:val="0027727A"/>
    <w:rsid w:val="002772D1"/>
    <w:rsid w:val="002774D6"/>
    <w:rsid w:val="00277641"/>
    <w:rsid w:val="00277A1E"/>
    <w:rsid w:val="00277CBD"/>
    <w:rsid w:val="0028009C"/>
    <w:rsid w:val="0028016D"/>
    <w:rsid w:val="002804FF"/>
    <w:rsid w:val="00280590"/>
    <w:rsid w:val="0028062F"/>
    <w:rsid w:val="002808AD"/>
    <w:rsid w:val="00280A56"/>
    <w:rsid w:val="00280ACF"/>
    <w:rsid w:val="00280BEF"/>
    <w:rsid w:val="00280FEC"/>
    <w:rsid w:val="0028101B"/>
    <w:rsid w:val="002811F9"/>
    <w:rsid w:val="00281437"/>
    <w:rsid w:val="00281568"/>
    <w:rsid w:val="002815E7"/>
    <w:rsid w:val="002819E0"/>
    <w:rsid w:val="00281A8E"/>
    <w:rsid w:val="00281B65"/>
    <w:rsid w:val="00281C96"/>
    <w:rsid w:val="00281EB0"/>
    <w:rsid w:val="00281F96"/>
    <w:rsid w:val="00282490"/>
    <w:rsid w:val="002826E6"/>
    <w:rsid w:val="00282786"/>
    <w:rsid w:val="00282975"/>
    <w:rsid w:val="00282A94"/>
    <w:rsid w:val="00282E1C"/>
    <w:rsid w:val="00283110"/>
    <w:rsid w:val="00283393"/>
    <w:rsid w:val="00283796"/>
    <w:rsid w:val="0028382E"/>
    <w:rsid w:val="0028398C"/>
    <w:rsid w:val="00283BD8"/>
    <w:rsid w:val="0028403F"/>
    <w:rsid w:val="002842AE"/>
    <w:rsid w:val="002844E3"/>
    <w:rsid w:val="002844F9"/>
    <w:rsid w:val="0028456D"/>
    <w:rsid w:val="002845F6"/>
    <w:rsid w:val="0028475E"/>
    <w:rsid w:val="00284A3E"/>
    <w:rsid w:val="00284DC3"/>
    <w:rsid w:val="0028502F"/>
    <w:rsid w:val="00285144"/>
    <w:rsid w:val="002854EB"/>
    <w:rsid w:val="00285749"/>
    <w:rsid w:val="00285B20"/>
    <w:rsid w:val="00285CD2"/>
    <w:rsid w:val="00286675"/>
    <w:rsid w:val="002866EC"/>
    <w:rsid w:val="0028675B"/>
    <w:rsid w:val="002869FD"/>
    <w:rsid w:val="00286D92"/>
    <w:rsid w:val="00286E5A"/>
    <w:rsid w:val="0028702E"/>
    <w:rsid w:val="0028712F"/>
    <w:rsid w:val="002877EB"/>
    <w:rsid w:val="002879E0"/>
    <w:rsid w:val="00287BB5"/>
    <w:rsid w:val="00287BEA"/>
    <w:rsid w:val="002903D5"/>
    <w:rsid w:val="002907E5"/>
    <w:rsid w:val="002908E7"/>
    <w:rsid w:val="00290C73"/>
    <w:rsid w:val="00290D64"/>
    <w:rsid w:val="00291191"/>
    <w:rsid w:val="00291439"/>
    <w:rsid w:val="002914AD"/>
    <w:rsid w:val="00291901"/>
    <w:rsid w:val="00291940"/>
    <w:rsid w:val="00291F7A"/>
    <w:rsid w:val="00292079"/>
    <w:rsid w:val="00292162"/>
    <w:rsid w:val="002925C0"/>
    <w:rsid w:val="00292670"/>
    <w:rsid w:val="00292677"/>
    <w:rsid w:val="002928C7"/>
    <w:rsid w:val="00292C41"/>
    <w:rsid w:val="00292EAA"/>
    <w:rsid w:val="002931F3"/>
    <w:rsid w:val="0029328E"/>
    <w:rsid w:val="002933C6"/>
    <w:rsid w:val="0029343B"/>
    <w:rsid w:val="002934AE"/>
    <w:rsid w:val="00293548"/>
    <w:rsid w:val="00293764"/>
    <w:rsid w:val="00293844"/>
    <w:rsid w:val="00293A20"/>
    <w:rsid w:val="00293BCD"/>
    <w:rsid w:val="00293C3A"/>
    <w:rsid w:val="00293D64"/>
    <w:rsid w:val="00293D85"/>
    <w:rsid w:val="002940FB"/>
    <w:rsid w:val="00294690"/>
    <w:rsid w:val="00294D88"/>
    <w:rsid w:val="00294D90"/>
    <w:rsid w:val="002951C8"/>
    <w:rsid w:val="002952E2"/>
    <w:rsid w:val="00295352"/>
    <w:rsid w:val="0029562B"/>
    <w:rsid w:val="0029573B"/>
    <w:rsid w:val="00295945"/>
    <w:rsid w:val="00295989"/>
    <w:rsid w:val="002959FF"/>
    <w:rsid w:val="00295B73"/>
    <w:rsid w:val="00295C05"/>
    <w:rsid w:val="00295D94"/>
    <w:rsid w:val="00296271"/>
    <w:rsid w:val="002962CA"/>
    <w:rsid w:val="002964D4"/>
    <w:rsid w:val="00296522"/>
    <w:rsid w:val="0029677B"/>
    <w:rsid w:val="00296A53"/>
    <w:rsid w:val="0029701C"/>
    <w:rsid w:val="00297707"/>
    <w:rsid w:val="00297A0D"/>
    <w:rsid w:val="00297BF2"/>
    <w:rsid w:val="00297EAF"/>
    <w:rsid w:val="00297EB7"/>
    <w:rsid w:val="00297F9B"/>
    <w:rsid w:val="002A0158"/>
    <w:rsid w:val="002A03B4"/>
    <w:rsid w:val="002A0544"/>
    <w:rsid w:val="002A093F"/>
    <w:rsid w:val="002A16BB"/>
    <w:rsid w:val="002A1857"/>
    <w:rsid w:val="002A19B4"/>
    <w:rsid w:val="002A1AAF"/>
    <w:rsid w:val="002A2017"/>
    <w:rsid w:val="002A23CD"/>
    <w:rsid w:val="002A3079"/>
    <w:rsid w:val="002A3462"/>
    <w:rsid w:val="002A349C"/>
    <w:rsid w:val="002A36EC"/>
    <w:rsid w:val="002A370A"/>
    <w:rsid w:val="002A37B3"/>
    <w:rsid w:val="002A3811"/>
    <w:rsid w:val="002A3934"/>
    <w:rsid w:val="002A3DF7"/>
    <w:rsid w:val="002A4008"/>
    <w:rsid w:val="002A4736"/>
    <w:rsid w:val="002A485B"/>
    <w:rsid w:val="002A48BA"/>
    <w:rsid w:val="002A4B00"/>
    <w:rsid w:val="002A4CD5"/>
    <w:rsid w:val="002A4EF5"/>
    <w:rsid w:val="002A50A7"/>
    <w:rsid w:val="002A54D4"/>
    <w:rsid w:val="002A554E"/>
    <w:rsid w:val="002A56B3"/>
    <w:rsid w:val="002A57BD"/>
    <w:rsid w:val="002A58DE"/>
    <w:rsid w:val="002A5B66"/>
    <w:rsid w:val="002A5EC7"/>
    <w:rsid w:val="002A5F58"/>
    <w:rsid w:val="002A622D"/>
    <w:rsid w:val="002A634B"/>
    <w:rsid w:val="002A65F4"/>
    <w:rsid w:val="002A69D2"/>
    <w:rsid w:val="002A6FBE"/>
    <w:rsid w:val="002A733C"/>
    <w:rsid w:val="002A7487"/>
    <w:rsid w:val="002A74ED"/>
    <w:rsid w:val="002A77C3"/>
    <w:rsid w:val="002A7C41"/>
    <w:rsid w:val="002B0059"/>
    <w:rsid w:val="002B07F0"/>
    <w:rsid w:val="002B09E0"/>
    <w:rsid w:val="002B0BE5"/>
    <w:rsid w:val="002B1146"/>
    <w:rsid w:val="002B1151"/>
    <w:rsid w:val="002B11B4"/>
    <w:rsid w:val="002B126B"/>
    <w:rsid w:val="002B12AE"/>
    <w:rsid w:val="002B165F"/>
    <w:rsid w:val="002B192A"/>
    <w:rsid w:val="002B1C9E"/>
    <w:rsid w:val="002B1E2E"/>
    <w:rsid w:val="002B1E85"/>
    <w:rsid w:val="002B243E"/>
    <w:rsid w:val="002B24B5"/>
    <w:rsid w:val="002B25DF"/>
    <w:rsid w:val="002B2BF5"/>
    <w:rsid w:val="002B37A5"/>
    <w:rsid w:val="002B3BDA"/>
    <w:rsid w:val="002B3C07"/>
    <w:rsid w:val="002B3F60"/>
    <w:rsid w:val="002B409C"/>
    <w:rsid w:val="002B4492"/>
    <w:rsid w:val="002B44DD"/>
    <w:rsid w:val="002B48AC"/>
    <w:rsid w:val="002B4A60"/>
    <w:rsid w:val="002B4A9F"/>
    <w:rsid w:val="002B5338"/>
    <w:rsid w:val="002B5471"/>
    <w:rsid w:val="002B565A"/>
    <w:rsid w:val="002B59FE"/>
    <w:rsid w:val="002B5A46"/>
    <w:rsid w:val="002B5A6B"/>
    <w:rsid w:val="002B5AC0"/>
    <w:rsid w:val="002B5C78"/>
    <w:rsid w:val="002B5CBC"/>
    <w:rsid w:val="002B5D7A"/>
    <w:rsid w:val="002B689A"/>
    <w:rsid w:val="002B7052"/>
    <w:rsid w:val="002B7222"/>
    <w:rsid w:val="002B725B"/>
    <w:rsid w:val="002B76F2"/>
    <w:rsid w:val="002B7766"/>
    <w:rsid w:val="002B7793"/>
    <w:rsid w:val="002B7869"/>
    <w:rsid w:val="002B7905"/>
    <w:rsid w:val="002B793F"/>
    <w:rsid w:val="002B7DD9"/>
    <w:rsid w:val="002B7FB4"/>
    <w:rsid w:val="002C0201"/>
    <w:rsid w:val="002C0227"/>
    <w:rsid w:val="002C05AE"/>
    <w:rsid w:val="002C092F"/>
    <w:rsid w:val="002C0977"/>
    <w:rsid w:val="002C0CA6"/>
    <w:rsid w:val="002C0FC8"/>
    <w:rsid w:val="002C113B"/>
    <w:rsid w:val="002C1475"/>
    <w:rsid w:val="002C17A1"/>
    <w:rsid w:val="002C1AB9"/>
    <w:rsid w:val="002C1B89"/>
    <w:rsid w:val="002C1BC4"/>
    <w:rsid w:val="002C1C0F"/>
    <w:rsid w:val="002C1C4D"/>
    <w:rsid w:val="002C1D43"/>
    <w:rsid w:val="002C1E66"/>
    <w:rsid w:val="002C2091"/>
    <w:rsid w:val="002C24E5"/>
    <w:rsid w:val="002C2503"/>
    <w:rsid w:val="002C28CD"/>
    <w:rsid w:val="002C2CBC"/>
    <w:rsid w:val="002C2CFA"/>
    <w:rsid w:val="002C2D95"/>
    <w:rsid w:val="002C2FF2"/>
    <w:rsid w:val="002C3037"/>
    <w:rsid w:val="002C3067"/>
    <w:rsid w:val="002C3265"/>
    <w:rsid w:val="002C388E"/>
    <w:rsid w:val="002C3EB6"/>
    <w:rsid w:val="002C3F5A"/>
    <w:rsid w:val="002C3F9C"/>
    <w:rsid w:val="002C4072"/>
    <w:rsid w:val="002C4400"/>
    <w:rsid w:val="002C4AA1"/>
    <w:rsid w:val="002C4AB1"/>
    <w:rsid w:val="002C4B03"/>
    <w:rsid w:val="002C4B4E"/>
    <w:rsid w:val="002C4BB7"/>
    <w:rsid w:val="002C50E5"/>
    <w:rsid w:val="002C54F8"/>
    <w:rsid w:val="002C55B8"/>
    <w:rsid w:val="002C5741"/>
    <w:rsid w:val="002C5758"/>
    <w:rsid w:val="002C5A13"/>
    <w:rsid w:val="002C5BCD"/>
    <w:rsid w:val="002C5CE7"/>
    <w:rsid w:val="002C6155"/>
    <w:rsid w:val="002C63B6"/>
    <w:rsid w:val="002C6B16"/>
    <w:rsid w:val="002C7216"/>
    <w:rsid w:val="002C73CF"/>
    <w:rsid w:val="002C7571"/>
    <w:rsid w:val="002C7B02"/>
    <w:rsid w:val="002C7D53"/>
    <w:rsid w:val="002C7DE9"/>
    <w:rsid w:val="002C7E1E"/>
    <w:rsid w:val="002D015B"/>
    <w:rsid w:val="002D0210"/>
    <w:rsid w:val="002D092B"/>
    <w:rsid w:val="002D0AAB"/>
    <w:rsid w:val="002D0B3C"/>
    <w:rsid w:val="002D0DD6"/>
    <w:rsid w:val="002D0EB1"/>
    <w:rsid w:val="002D1291"/>
    <w:rsid w:val="002D14A1"/>
    <w:rsid w:val="002D1529"/>
    <w:rsid w:val="002D15DC"/>
    <w:rsid w:val="002D1636"/>
    <w:rsid w:val="002D1A05"/>
    <w:rsid w:val="002D1A32"/>
    <w:rsid w:val="002D1A9B"/>
    <w:rsid w:val="002D1D19"/>
    <w:rsid w:val="002D1F76"/>
    <w:rsid w:val="002D20DE"/>
    <w:rsid w:val="002D21EB"/>
    <w:rsid w:val="002D2931"/>
    <w:rsid w:val="002D2975"/>
    <w:rsid w:val="002D2AA2"/>
    <w:rsid w:val="002D2BC0"/>
    <w:rsid w:val="002D2FEC"/>
    <w:rsid w:val="002D3054"/>
    <w:rsid w:val="002D30D0"/>
    <w:rsid w:val="002D30DA"/>
    <w:rsid w:val="002D32AD"/>
    <w:rsid w:val="002D340F"/>
    <w:rsid w:val="002D3445"/>
    <w:rsid w:val="002D365B"/>
    <w:rsid w:val="002D37E3"/>
    <w:rsid w:val="002D3D8C"/>
    <w:rsid w:val="002D3F6E"/>
    <w:rsid w:val="002D3F83"/>
    <w:rsid w:val="002D4229"/>
    <w:rsid w:val="002D44A5"/>
    <w:rsid w:val="002D44F7"/>
    <w:rsid w:val="002D4826"/>
    <w:rsid w:val="002D48B6"/>
    <w:rsid w:val="002D4B06"/>
    <w:rsid w:val="002D4CA7"/>
    <w:rsid w:val="002D4CF5"/>
    <w:rsid w:val="002D4DCF"/>
    <w:rsid w:val="002D50A4"/>
    <w:rsid w:val="002D5195"/>
    <w:rsid w:val="002D55DA"/>
    <w:rsid w:val="002D5738"/>
    <w:rsid w:val="002D64EE"/>
    <w:rsid w:val="002D65E0"/>
    <w:rsid w:val="002D6654"/>
    <w:rsid w:val="002D6697"/>
    <w:rsid w:val="002D6E06"/>
    <w:rsid w:val="002D6EBD"/>
    <w:rsid w:val="002D704D"/>
    <w:rsid w:val="002D721E"/>
    <w:rsid w:val="002D74FA"/>
    <w:rsid w:val="002D7577"/>
    <w:rsid w:val="002D75D0"/>
    <w:rsid w:val="002D7616"/>
    <w:rsid w:val="002D76A7"/>
    <w:rsid w:val="002D7939"/>
    <w:rsid w:val="002D7ECD"/>
    <w:rsid w:val="002D7FB4"/>
    <w:rsid w:val="002E0369"/>
    <w:rsid w:val="002E0465"/>
    <w:rsid w:val="002E068A"/>
    <w:rsid w:val="002E07F5"/>
    <w:rsid w:val="002E08BE"/>
    <w:rsid w:val="002E0B1A"/>
    <w:rsid w:val="002E0E6D"/>
    <w:rsid w:val="002E1126"/>
    <w:rsid w:val="002E16EB"/>
    <w:rsid w:val="002E1B12"/>
    <w:rsid w:val="002E1B44"/>
    <w:rsid w:val="002E1B54"/>
    <w:rsid w:val="002E2025"/>
    <w:rsid w:val="002E2184"/>
    <w:rsid w:val="002E21A3"/>
    <w:rsid w:val="002E231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55D"/>
    <w:rsid w:val="002E4784"/>
    <w:rsid w:val="002E4B07"/>
    <w:rsid w:val="002E4B3B"/>
    <w:rsid w:val="002E4B4E"/>
    <w:rsid w:val="002E4BB8"/>
    <w:rsid w:val="002E4C5F"/>
    <w:rsid w:val="002E4D84"/>
    <w:rsid w:val="002E52AE"/>
    <w:rsid w:val="002E55CC"/>
    <w:rsid w:val="002E58A7"/>
    <w:rsid w:val="002E5A45"/>
    <w:rsid w:val="002E5A57"/>
    <w:rsid w:val="002E5BFD"/>
    <w:rsid w:val="002E5E1A"/>
    <w:rsid w:val="002E5E8D"/>
    <w:rsid w:val="002E613C"/>
    <w:rsid w:val="002E6537"/>
    <w:rsid w:val="002E6577"/>
    <w:rsid w:val="002E6A70"/>
    <w:rsid w:val="002E6CFC"/>
    <w:rsid w:val="002E6E91"/>
    <w:rsid w:val="002E73DE"/>
    <w:rsid w:val="002E74B9"/>
    <w:rsid w:val="002E7736"/>
    <w:rsid w:val="002E7877"/>
    <w:rsid w:val="002E7BD2"/>
    <w:rsid w:val="002F0221"/>
    <w:rsid w:val="002F03BC"/>
    <w:rsid w:val="002F0980"/>
    <w:rsid w:val="002F09A0"/>
    <w:rsid w:val="002F09C2"/>
    <w:rsid w:val="002F0BD2"/>
    <w:rsid w:val="002F0C72"/>
    <w:rsid w:val="002F0CC9"/>
    <w:rsid w:val="002F12DE"/>
    <w:rsid w:val="002F15C1"/>
    <w:rsid w:val="002F173A"/>
    <w:rsid w:val="002F1827"/>
    <w:rsid w:val="002F190A"/>
    <w:rsid w:val="002F1968"/>
    <w:rsid w:val="002F1DCF"/>
    <w:rsid w:val="002F1E63"/>
    <w:rsid w:val="002F2050"/>
    <w:rsid w:val="002F2217"/>
    <w:rsid w:val="002F2261"/>
    <w:rsid w:val="002F2834"/>
    <w:rsid w:val="002F2840"/>
    <w:rsid w:val="002F2872"/>
    <w:rsid w:val="002F2922"/>
    <w:rsid w:val="002F29DB"/>
    <w:rsid w:val="002F2BDD"/>
    <w:rsid w:val="002F2CD6"/>
    <w:rsid w:val="002F34D6"/>
    <w:rsid w:val="002F3563"/>
    <w:rsid w:val="002F35CA"/>
    <w:rsid w:val="002F3B0B"/>
    <w:rsid w:val="002F3F6E"/>
    <w:rsid w:val="002F409D"/>
    <w:rsid w:val="002F4309"/>
    <w:rsid w:val="002F44E1"/>
    <w:rsid w:val="002F4AEA"/>
    <w:rsid w:val="002F4C9B"/>
    <w:rsid w:val="002F4CA0"/>
    <w:rsid w:val="002F4DFB"/>
    <w:rsid w:val="002F517B"/>
    <w:rsid w:val="002F55B2"/>
    <w:rsid w:val="002F562B"/>
    <w:rsid w:val="002F57E4"/>
    <w:rsid w:val="002F58E2"/>
    <w:rsid w:val="002F599B"/>
    <w:rsid w:val="002F5D37"/>
    <w:rsid w:val="002F5F18"/>
    <w:rsid w:val="002F60C6"/>
    <w:rsid w:val="002F616A"/>
    <w:rsid w:val="002F6340"/>
    <w:rsid w:val="002F6636"/>
    <w:rsid w:val="002F67E2"/>
    <w:rsid w:val="002F6B54"/>
    <w:rsid w:val="002F700C"/>
    <w:rsid w:val="002F710A"/>
    <w:rsid w:val="002F727A"/>
    <w:rsid w:val="002F73BF"/>
    <w:rsid w:val="002F73CC"/>
    <w:rsid w:val="002F7529"/>
    <w:rsid w:val="002F77BB"/>
    <w:rsid w:val="002F7A88"/>
    <w:rsid w:val="002F7E01"/>
    <w:rsid w:val="0030009B"/>
    <w:rsid w:val="003001D0"/>
    <w:rsid w:val="003005AA"/>
    <w:rsid w:val="0030084A"/>
    <w:rsid w:val="00300A1C"/>
    <w:rsid w:val="00301050"/>
    <w:rsid w:val="00301781"/>
    <w:rsid w:val="00301793"/>
    <w:rsid w:val="0030179B"/>
    <w:rsid w:val="00301894"/>
    <w:rsid w:val="00301A06"/>
    <w:rsid w:val="00301A90"/>
    <w:rsid w:val="00301E7D"/>
    <w:rsid w:val="00301F3A"/>
    <w:rsid w:val="0030202D"/>
    <w:rsid w:val="0030204E"/>
    <w:rsid w:val="003022DE"/>
    <w:rsid w:val="00302459"/>
    <w:rsid w:val="00302476"/>
    <w:rsid w:val="0030250E"/>
    <w:rsid w:val="003028B2"/>
    <w:rsid w:val="00302CA2"/>
    <w:rsid w:val="00302F67"/>
    <w:rsid w:val="00302F74"/>
    <w:rsid w:val="00303049"/>
    <w:rsid w:val="003030D7"/>
    <w:rsid w:val="00303421"/>
    <w:rsid w:val="0030357D"/>
    <w:rsid w:val="0030358E"/>
    <w:rsid w:val="00303761"/>
    <w:rsid w:val="00303888"/>
    <w:rsid w:val="00303AA4"/>
    <w:rsid w:val="00303CFC"/>
    <w:rsid w:val="00303DCF"/>
    <w:rsid w:val="003042DA"/>
    <w:rsid w:val="0030443D"/>
    <w:rsid w:val="003045A8"/>
    <w:rsid w:val="00304DFE"/>
    <w:rsid w:val="003050F3"/>
    <w:rsid w:val="00305427"/>
    <w:rsid w:val="003054CA"/>
    <w:rsid w:val="0030564F"/>
    <w:rsid w:val="00305706"/>
    <w:rsid w:val="00305BD4"/>
    <w:rsid w:val="00305D81"/>
    <w:rsid w:val="00305DE9"/>
    <w:rsid w:val="00305EE5"/>
    <w:rsid w:val="00305FE9"/>
    <w:rsid w:val="003063AE"/>
    <w:rsid w:val="003064E0"/>
    <w:rsid w:val="003064FD"/>
    <w:rsid w:val="00306518"/>
    <w:rsid w:val="0030688C"/>
    <w:rsid w:val="0030696B"/>
    <w:rsid w:val="00306980"/>
    <w:rsid w:val="0030698A"/>
    <w:rsid w:val="003069ED"/>
    <w:rsid w:val="00306A4B"/>
    <w:rsid w:val="00306E5F"/>
    <w:rsid w:val="003070E2"/>
    <w:rsid w:val="003079D9"/>
    <w:rsid w:val="00307A81"/>
    <w:rsid w:val="00307DEB"/>
    <w:rsid w:val="00310056"/>
    <w:rsid w:val="003100FB"/>
    <w:rsid w:val="00310153"/>
    <w:rsid w:val="003101D7"/>
    <w:rsid w:val="0031031F"/>
    <w:rsid w:val="00310919"/>
    <w:rsid w:val="00310952"/>
    <w:rsid w:val="00310AAF"/>
    <w:rsid w:val="00310F20"/>
    <w:rsid w:val="003112CE"/>
    <w:rsid w:val="0031131C"/>
    <w:rsid w:val="0031141E"/>
    <w:rsid w:val="003114B1"/>
    <w:rsid w:val="0031179C"/>
    <w:rsid w:val="003118BE"/>
    <w:rsid w:val="00312191"/>
    <w:rsid w:val="00312277"/>
    <w:rsid w:val="00312535"/>
    <w:rsid w:val="0031253C"/>
    <w:rsid w:val="00312673"/>
    <w:rsid w:val="0031268F"/>
    <w:rsid w:val="003127CA"/>
    <w:rsid w:val="00312856"/>
    <w:rsid w:val="00312959"/>
    <w:rsid w:val="00312F08"/>
    <w:rsid w:val="003133F3"/>
    <w:rsid w:val="003136BE"/>
    <w:rsid w:val="00313886"/>
    <w:rsid w:val="00313DC3"/>
    <w:rsid w:val="00313F39"/>
    <w:rsid w:val="003140C8"/>
    <w:rsid w:val="00314162"/>
    <w:rsid w:val="00314297"/>
    <w:rsid w:val="0031452C"/>
    <w:rsid w:val="00314A6B"/>
    <w:rsid w:val="0031510E"/>
    <w:rsid w:val="0031543D"/>
    <w:rsid w:val="00315AF2"/>
    <w:rsid w:val="00315DC4"/>
    <w:rsid w:val="00315E98"/>
    <w:rsid w:val="00315F2F"/>
    <w:rsid w:val="0031649F"/>
    <w:rsid w:val="00316954"/>
    <w:rsid w:val="00316D12"/>
    <w:rsid w:val="00316D4A"/>
    <w:rsid w:val="00316E79"/>
    <w:rsid w:val="00317034"/>
    <w:rsid w:val="0031744C"/>
    <w:rsid w:val="003178C4"/>
    <w:rsid w:val="003179E5"/>
    <w:rsid w:val="00317F62"/>
    <w:rsid w:val="0032042E"/>
    <w:rsid w:val="0032055E"/>
    <w:rsid w:val="003205DA"/>
    <w:rsid w:val="00320863"/>
    <w:rsid w:val="003208C5"/>
    <w:rsid w:val="0032096E"/>
    <w:rsid w:val="00320A41"/>
    <w:rsid w:val="00320B73"/>
    <w:rsid w:val="00320D59"/>
    <w:rsid w:val="0032143F"/>
    <w:rsid w:val="003215E9"/>
    <w:rsid w:val="00322026"/>
    <w:rsid w:val="00322180"/>
    <w:rsid w:val="003222C6"/>
    <w:rsid w:val="00322361"/>
    <w:rsid w:val="00322656"/>
    <w:rsid w:val="003226AE"/>
    <w:rsid w:val="003226D4"/>
    <w:rsid w:val="0032284E"/>
    <w:rsid w:val="003228B3"/>
    <w:rsid w:val="00322982"/>
    <w:rsid w:val="00322BF9"/>
    <w:rsid w:val="00322CDC"/>
    <w:rsid w:val="00322D93"/>
    <w:rsid w:val="00322DFA"/>
    <w:rsid w:val="00323157"/>
    <w:rsid w:val="003234E8"/>
    <w:rsid w:val="0032367F"/>
    <w:rsid w:val="0032376B"/>
    <w:rsid w:val="00323A15"/>
    <w:rsid w:val="00323B97"/>
    <w:rsid w:val="00324128"/>
    <w:rsid w:val="003242CB"/>
    <w:rsid w:val="003243A5"/>
    <w:rsid w:val="003245DB"/>
    <w:rsid w:val="00324B44"/>
    <w:rsid w:val="00324B49"/>
    <w:rsid w:val="00324E7A"/>
    <w:rsid w:val="0032526D"/>
    <w:rsid w:val="0032565F"/>
    <w:rsid w:val="00325769"/>
    <w:rsid w:val="00325B85"/>
    <w:rsid w:val="00325E68"/>
    <w:rsid w:val="00325F0C"/>
    <w:rsid w:val="00325F69"/>
    <w:rsid w:val="00325F7D"/>
    <w:rsid w:val="00326166"/>
    <w:rsid w:val="003269EA"/>
    <w:rsid w:val="00326A42"/>
    <w:rsid w:val="00326C1A"/>
    <w:rsid w:val="00326E82"/>
    <w:rsid w:val="00326EC7"/>
    <w:rsid w:val="003272AF"/>
    <w:rsid w:val="00327528"/>
    <w:rsid w:val="00327612"/>
    <w:rsid w:val="00327702"/>
    <w:rsid w:val="0032787F"/>
    <w:rsid w:val="00327C4D"/>
    <w:rsid w:val="00327C80"/>
    <w:rsid w:val="00327CB3"/>
    <w:rsid w:val="003304B4"/>
    <w:rsid w:val="00330653"/>
    <w:rsid w:val="00330947"/>
    <w:rsid w:val="00330C72"/>
    <w:rsid w:val="00330E9B"/>
    <w:rsid w:val="00330F87"/>
    <w:rsid w:val="00331225"/>
    <w:rsid w:val="0033143D"/>
    <w:rsid w:val="00331652"/>
    <w:rsid w:val="00331724"/>
    <w:rsid w:val="003319E8"/>
    <w:rsid w:val="00331A45"/>
    <w:rsid w:val="00331CE3"/>
    <w:rsid w:val="00331D74"/>
    <w:rsid w:val="00332312"/>
    <w:rsid w:val="0033262D"/>
    <w:rsid w:val="00332989"/>
    <w:rsid w:val="00332A7C"/>
    <w:rsid w:val="00332B0C"/>
    <w:rsid w:val="00332C70"/>
    <w:rsid w:val="003331E7"/>
    <w:rsid w:val="00333673"/>
    <w:rsid w:val="00333AC7"/>
    <w:rsid w:val="00333B90"/>
    <w:rsid w:val="00333BC3"/>
    <w:rsid w:val="003341F0"/>
    <w:rsid w:val="00334223"/>
    <w:rsid w:val="00334294"/>
    <w:rsid w:val="00334317"/>
    <w:rsid w:val="00334763"/>
    <w:rsid w:val="0033482F"/>
    <w:rsid w:val="00334BBB"/>
    <w:rsid w:val="0033506B"/>
    <w:rsid w:val="003358D5"/>
    <w:rsid w:val="00335E0E"/>
    <w:rsid w:val="00335F8D"/>
    <w:rsid w:val="00335FD5"/>
    <w:rsid w:val="00336039"/>
    <w:rsid w:val="00336044"/>
    <w:rsid w:val="0033689D"/>
    <w:rsid w:val="00336954"/>
    <w:rsid w:val="00336AAB"/>
    <w:rsid w:val="00336D83"/>
    <w:rsid w:val="00336FB6"/>
    <w:rsid w:val="0033703D"/>
    <w:rsid w:val="003371C6"/>
    <w:rsid w:val="0033729B"/>
    <w:rsid w:val="0033773A"/>
    <w:rsid w:val="003379C8"/>
    <w:rsid w:val="00337AAC"/>
    <w:rsid w:val="00337CDF"/>
    <w:rsid w:val="00337D23"/>
    <w:rsid w:val="00337F21"/>
    <w:rsid w:val="00340196"/>
    <w:rsid w:val="00340268"/>
    <w:rsid w:val="00340277"/>
    <w:rsid w:val="003405ED"/>
    <w:rsid w:val="00340AB7"/>
    <w:rsid w:val="00340CF6"/>
    <w:rsid w:val="00340FC5"/>
    <w:rsid w:val="00341115"/>
    <w:rsid w:val="00341999"/>
    <w:rsid w:val="00341F1B"/>
    <w:rsid w:val="00341F70"/>
    <w:rsid w:val="00341F81"/>
    <w:rsid w:val="00341FA8"/>
    <w:rsid w:val="00342458"/>
    <w:rsid w:val="003424C9"/>
    <w:rsid w:val="003426EA"/>
    <w:rsid w:val="003429D0"/>
    <w:rsid w:val="00342A3B"/>
    <w:rsid w:val="00342A47"/>
    <w:rsid w:val="0034300F"/>
    <w:rsid w:val="003435F4"/>
    <w:rsid w:val="003436A3"/>
    <w:rsid w:val="00343CCD"/>
    <w:rsid w:val="00344180"/>
    <w:rsid w:val="00344374"/>
    <w:rsid w:val="00344852"/>
    <w:rsid w:val="00344A7C"/>
    <w:rsid w:val="00344EB2"/>
    <w:rsid w:val="00345023"/>
    <w:rsid w:val="00345134"/>
    <w:rsid w:val="003452B6"/>
    <w:rsid w:val="003452E9"/>
    <w:rsid w:val="00345446"/>
    <w:rsid w:val="003457A4"/>
    <w:rsid w:val="00345822"/>
    <w:rsid w:val="00345954"/>
    <w:rsid w:val="00345D6F"/>
    <w:rsid w:val="00345E9F"/>
    <w:rsid w:val="0034639A"/>
    <w:rsid w:val="003464D7"/>
    <w:rsid w:val="003464FE"/>
    <w:rsid w:val="00346746"/>
    <w:rsid w:val="003468B2"/>
    <w:rsid w:val="00346A09"/>
    <w:rsid w:val="00346A10"/>
    <w:rsid w:val="00346F19"/>
    <w:rsid w:val="00347139"/>
    <w:rsid w:val="00347165"/>
    <w:rsid w:val="00347315"/>
    <w:rsid w:val="00347361"/>
    <w:rsid w:val="003479A7"/>
    <w:rsid w:val="00347B04"/>
    <w:rsid w:val="00347D17"/>
    <w:rsid w:val="003501C4"/>
    <w:rsid w:val="0035052F"/>
    <w:rsid w:val="00350F0C"/>
    <w:rsid w:val="00351052"/>
    <w:rsid w:val="003512B7"/>
    <w:rsid w:val="00351711"/>
    <w:rsid w:val="003519B4"/>
    <w:rsid w:val="00351B7B"/>
    <w:rsid w:val="00351BCD"/>
    <w:rsid w:val="00351E71"/>
    <w:rsid w:val="00351E74"/>
    <w:rsid w:val="003522EA"/>
    <w:rsid w:val="0035234D"/>
    <w:rsid w:val="00352789"/>
    <w:rsid w:val="00352A6B"/>
    <w:rsid w:val="00352DC6"/>
    <w:rsid w:val="00352DFB"/>
    <w:rsid w:val="00352E06"/>
    <w:rsid w:val="0035316B"/>
    <w:rsid w:val="003532EE"/>
    <w:rsid w:val="003534AC"/>
    <w:rsid w:val="0035378A"/>
    <w:rsid w:val="0035384F"/>
    <w:rsid w:val="00353A10"/>
    <w:rsid w:val="00353B31"/>
    <w:rsid w:val="00353F5F"/>
    <w:rsid w:val="003541A5"/>
    <w:rsid w:val="003541CF"/>
    <w:rsid w:val="00354286"/>
    <w:rsid w:val="003545E2"/>
    <w:rsid w:val="003548CC"/>
    <w:rsid w:val="00354A5A"/>
    <w:rsid w:val="00354C10"/>
    <w:rsid w:val="00354CAF"/>
    <w:rsid w:val="003551E0"/>
    <w:rsid w:val="003552A9"/>
    <w:rsid w:val="003552D6"/>
    <w:rsid w:val="00355752"/>
    <w:rsid w:val="00355891"/>
    <w:rsid w:val="00355951"/>
    <w:rsid w:val="00355C23"/>
    <w:rsid w:val="00355E3A"/>
    <w:rsid w:val="00355E72"/>
    <w:rsid w:val="003561A9"/>
    <w:rsid w:val="00356224"/>
    <w:rsid w:val="0035626D"/>
    <w:rsid w:val="003563E5"/>
    <w:rsid w:val="003565B6"/>
    <w:rsid w:val="00356701"/>
    <w:rsid w:val="00356993"/>
    <w:rsid w:val="00357351"/>
    <w:rsid w:val="003575F5"/>
    <w:rsid w:val="003576C0"/>
    <w:rsid w:val="003577F6"/>
    <w:rsid w:val="003578F8"/>
    <w:rsid w:val="003579CD"/>
    <w:rsid w:val="00357A1A"/>
    <w:rsid w:val="00360667"/>
    <w:rsid w:val="00360814"/>
    <w:rsid w:val="003609CB"/>
    <w:rsid w:val="00360A01"/>
    <w:rsid w:val="00360E72"/>
    <w:rsid w:val="00361371"/>
    <w:rsid w:val="0036166C"/>
    <w:rsid w:val="003616A4"/>
    <w:rsid w:val="00361823"/>
    <w:rsid w:val="003618EC"/>
    <w:rsid w:val="00361935"/>
    <w:rsid w:val="00361D36"/>
    <w:rsid w:val="00361DAE"/>
    <w:rsid w:val="00361E62"/>
    <w:rsid w:val="003621A3"/>
    <w:rsid w:val="00362242"/>
    <w:rsid w:val="00362499"/>
    <w:rsid w:val="00362524"/>
    <w:rsid w:val="00362525"/>
    <w:rsid w:val="0036262D"/>
    <w:rsid w:val="00362749"/>
    <w:rsid w:val="0036280D"/>
    <w:rsid w:val="003628E2"/>
    <w:rsid w:val="00362AEA"/>
    <w:rsid w:val="00362D3C"/>
    <w:rsid w:val="00362FEE"/>
    <w:rsid w:val="0036305C"/>
    <w:rsid w:val="00363104"/>
    <w:rsid w:val="00363175"/>
    <w:rsid w:val="003632CC"/>
    <w:rsid w:val="003633F1"/>
    <w:rsid w:val="00363885"/>
    <w:rsid w:val="003638AB"/>
    <w:rsid w:val="003639A9"/>
    <w:rsid w:val="00363BC5"/>
    <w:rsid w:val="00364319"/>
    <w:rsid w:val="003643D7"/>
    <w:rsid w:val="00364479"/>
    <w:rsid w:val="00364493"/>
    <w:rsid w:val="003644B1"/>
    <w:rsid w:val="003649E5"/>
    <w:rsid w:val="00364D2E"/>
    <w:rsid w:val="0036569F"/>
    <w:rsid w:val="003656E6"/>
    <w:rsid w:val="0036594F"/>
    <w:rsid w:val="0036595F"/>
    <w:rsid w:val="00365F32"/>
    <w:rsid w:val="00366192"/>
    <w:rsid w:val="0036643A"/>
    <w:rsid w:val="00366544"/>
    <w:rsid w:val="00366A1A"/>
    <w:rsid w:val="00366AEA"/>
    <w:rsid w:val="00366D80"/>
    <w:rsid w:val="00366DC7"/>
    <w:rsid w:val="00366F83"/>
    <w:rsid w:val="00366FA1"/>
    <w:rsid w:val="003672E0"/>
    <w:rsid w:val="00367569"/>
    <w:rsid w:val="00367757"/>
    <w:rsid w:val="003677B1"/>
    <w:rsid w:val="0037004C"/>
    <w:rsid w:val="003701FA"/>
    <w:rsid w:val="003703CB"/>
    <w:rsid w:val="003705DC"/>
    <w:rsid w:val="003706CF"/>
    <w:rsid w:val="003707CC"/>
    <w:rsid w:val="00370C3D"/>
    <w:rsid w:val="00371104"/>
    <w:rsid w:val="0037119B"/>
    <w:rsid w:val="003711EC"/>
    <w:rsid w:val="00371358"/>
    <w:rsid w:val="003716D6"/>
    <w:rsid w:val="00371A9D"/>
    <w:rsid w:val="00371C03"/>
    <w:rsid w:val="00371EED"/>
    <w:rsid w:val="00372041"/>
    <w:rsid w:val="003720D1"/>
    <w:rsid w:val="003720EE"/>
    <w:rsid w:val="00372263"/>
    <w:rsid w:val="00372439"/>
    <w:rsid w:val="00372494"/>
    <w:rsid w:val="003726E9"/>
    <w:rsid w:val="00372A7D"/>
    <w:rsid w:val="00372D8A"/>
    <w:rsid w:val="00372DFF"/>
    <w:rsid w:val="00372E6A"/>
    <w:rsid w:val="003731DD"/>
    <w:rsid w:val="003734D1"/>
    <w:rsid w:val="00373564"/>
    <w:rsid w:val="00373C4A"/>
    <w:rsid w:val="00373E10"/>
    <w:rsid w:val="0037427C"/>
    <w:rsid w:val="00374345"/>
    <w:rsid w:val="0037444B"/>
    <w:rsid w:val="00374638"/>
    <w:rsid w:val="00374C38"/>
    <w:rsid w:val="00374D09"/>
    <w:rsid w:val="00374DD4"/>
    <w:rsid w:val="00375249"/>
    <w:rsid w:val="00375256"/>
    <w:rsid w:val="00375367"/>
    <w:rsid w:val="0037568D"/>
    <w:rsid w:val="00375883"/>
    <w:rsid w:val="00375BA6"/>
    <w:rsid w:val="00375D43"/>
    <w:rsid w:val="00376321"/>
    <w:rsid w:val="0037633D"/>
    <w:rsid w:val="0037684C"/>
    <w:rsid w:val="0037688D"/>
    <w:rsid w:val="00376D34"/>
    <w:rsid w:val="003771C7"/>
    <w:rsid w:val="003775C9"/>
    <w:rsid w:val="00377683"/>
    <w:rsid w:val="003776C6"/>
    <w:rsid w:val="0037786E"/>
    <w:rsid w:val="003778DA"/>
    <w:rsid w:val="0037791E"/>
    <w:rsid w:val="00377BBC"/>
    <w:rsid w:val="00377C3F"/>
    <w:rsid w:val="00377DA5"/>
    <w:rsid w:val="00380117"/>
    <w:rsid w:val="003801E2"/>
    <w:rsid w:val="0038055E"/>
    <w:rsid w:val="00380845"/>
    <w:rsid w:val="0038087B"/>
    <w:rsid w:val="00380EBB"/>
    <w:rsid w:val="003811C1"/>
    <w:rsid w:val="0038143D"/>
    <w:rsid w:val="0038145F"/>
    <w:rsid w:val="003819DC"/>
    <w:rsid w:val="00381C0D"/>
    <w:rsid w:val="00381C74"/>
    <w:rsid w:val="00381F17"/>
    <w:rsid w:val="00381F6C"/>
    <w:rsid w:val="00381FD4"/>
    <w:rsid w:val="003823E4"/>
    <w:rsid w:val="003824A6"/>
    <w:rsid w:val="0038285E"/>
    <w:rsid w:val="0038293B"/>
    <w:rsid w:val="00382A22"/>
    <w:rsid w:val="00382B41"/>
    <w:rsid w:val="00382B8E"/>
    <w:rsid w:val="00382CEE"/>
    <w:rsid w:val="0038322D"/>
    <w:rsid w:val="0038348C"/>
    <w:rsid w:val="003835C8"/>
    <w:rsid w:val="00383711"/>
    <w:rsid w:val="0038378D"/>
    <w:rsid w:val="0038388E"/>
    <w:rsid w:val="0038397E"/>
    <w:rsid w:val="00383CBE"/>
    <w:rsid w:val="003840FA"/>
    <w:rsid w:val="00384193"/>
    <w:rsid w:val="0038470D"/>
    <w:rsid w:val="003847CA"/>
    <w:rsid w:val="00384844"/>
    <w:rsid w:val="00384D89"/>
    <w:rsid w:val="00384EED"/>
    <w:rsid w:val="00385341"/>
    <w:rsid w:val="003853DD"/>
    <w:rsid w:val="00385487"/>
    <w:rsid w:val="003854D9"/>
    <w:rsid w:val="00385721"/>
    <w:rsid w:val="0038597F"/>
    <w:rsid w:val="00385D31"/>
    <w:rsid w:val="00385D4E"/>
    <w:rsid w:val="003862C3"/>
    <w:rsid w:val="003865A7"/>
    <w:rsid w:val="00386A2B"/>
    <w:rsid w:val="00386B09"/>
    <w:rsid w:val="00386E63"/>
    <w:rsid w:val="00386E66"/>
    <w:rsid w:val="00386E95"/>
    <w:rsid w:val="0038760B"/>
    <w:rsid w:val="00387985"/>
    <w:rsid w:val="00387D06"/>
    <w:rsid w:val="00387DC8"/>
    <w:rsid w:val="00387FA8"/>
    <w:rsid w:val="003908BE"/>
    <w:rsid w:val="003909AF"/>
    <w:rsid w:val="00390A24"/>
    <w:rsid w:val="00390CC8"/>
    <w:rsid w:val="00390EDA"/>
    <w:rsid w:val="00391110"/>
    <w:rsid w:val="00391202"/>
    <w:rsid w:val="0039133A"/>
    <w:rsid w:val="00391378"/>
    <w:rsid w:val="003914B4"/>
    <w:rsid w:val="0039195B"/>
    <w:rsid w:val="00391BE3"/>
    <w:rsid w:val="00391D8B"/>
    <w:rsid w:val="00391D99"/>
    <w:rsid w:val="00391E68"/>
    <w:rsid w:val="00391E88"/>
    <w:rsid w:val="00391FB9"/>
    <w:rsid w:val="00392076"/>
    <w:rsid w:val="0039224C"/>
    <w:rsid w:val="00392332"/>
    <w:rsid w:val="003923AD"/>
    <w:rsid w:val="003923B9"/>
    <w:rsid w:val="00392492"/>
    <w:rsid w:val="00392578"/>
    <w:rsid w:val="0039258F"/>
    <w:rsid w:val="00392594"/>
    <w:rsid w:val="003928E6"/>
    <w:rsid w:val="00392A11"/>
    <w:rsid w:val="00392C88"/>
    <w:rsid w:val="00392E5E"/>
    <w:rsid w:val="00392F94"/>
    <w:rsid w:val="00393309"/>
    <w:rsid w:val="00393652"/>
    <w:rsid w:val="0039381A"/>
    <w:rsid w:val="00393AB1"/>
    <w:rsid w:val="00393BF7"/>
    <w:rsid w:val="00393C91"/>
    <w:rsid w:val="00393CDF"/>
    <w:rsid w:val="00393FA3"/>
    <w:rsid w:val="0039412B"/>
    <w:rsid w:val="003944A0"/>
    <w:rsid w:val="003948B3"/>
    <w:rsid w:val="00394CF5"/>
    <w:rsid w:val="00394FAC"/>
    <w:rsid w:val="003950CC"/>
    <w:rsid w:val="00395263"/>
    <w:rsid w:val="00395A9B"/>
    <w:rsid w:val="00395B97"/>
    <w:rsid w:val="00395BB3"/>
    <w:rsid w:val="00395E81"/>
    <w:rsid w:val="0039604D"/>
    <w:rsid w:val="0039631D"/>
    <w:rsid w:val="00396450"/>
    <w:rsid w:val="0039659D"/>
    <w:rsid w:val="00396831"/>
    <w:rsid w:val="00396BC4"/>
    <w:rsid w:val="00396D80"/>
    <w:rsid w:val="00396DD9"/>
    <w:rsid w:val="00397F8F"/>
    <w:rsid w:val="003A0084"/>
    <w:rsid w:val="003A09F1"/>
    <w:rsid w:val="003A0D45"/>
    <w:rsid w:val="003A0DD3"/>
    <w:rsid w:val="003A0F7C"/>
    <w:rsid w:val="003A125D"/>
    <w:rsid w:val="003A135C"/>
    <w:rsid w:val="003A1364"/>
    <w:rsid w:val="003A14BF"/>
    <w:rsid w:val="003A198C"/>
    <w:rsid w:val="003A1F51"/>
    <w:rsid w:val="003A241A"/>
    <w:rsid w:val="003A2A15"/>
    <w:rsid w:val="003A2A92"/>
    <w:rsid w:val="003A2A93"/>
    <w:rsid w:val="003A2B44"/>
    <w:rsid w:val="003A2E9C"/>
    <w:rsid w:val="003A2EA1"/>
    <w:rsid w:val="003A37B8"/>
    <w:rsid w:val="003A38B6"/>
    <w:rsid w:val="003A3AB7"/>
    <w:rsid w:val="003A3C37"/>
    <w:rsid w:val="003A3F82"/>
    <w:rsid w:val="003A3FBE"/>
    <w:rsid w:val="003A4139"/>
    <w:rsid w:val="003A41E4"/>
    <w:rsid w:val="003A47AA"/>
    <w:rsid w:val="003A4AD0"/>
    <w:rsid w:val="003A4B3C"/>
    <w:rsid w:val="003A4FE1"/>
    <w:rsid w:val="003A5175"/>
    <w:rsid w:val="003A557A"/>
    <w:rsid w:val="003A5844"/>
    <w:rsid w:val="003A5C38"/>
    <w:rsid w:val="003A5CD5"/>
    <w:rsid w:val="003A5D4E"/>
    <w:rsid w:val="003A5F76"/>
    <w:rsid w:val="003A6132"/>
    <w:rsid w:val="003A61F9"/>
    <w:rsid w:val="003A6478"/>
    <w:rsid w:val="003A64C1"/>
    <w:rsid w:val="003A680F"/>
    <w:rsid w:val="003A6D6C"/>
    <w:rsid w:val="003A6D95"/>
    <w:rsid w:val="003A6FA9"/>
    <w:rsid w:val="003A7059"/>
    <w:rsid w:val="003A75C4"/>
    <w:rsid w:val="003A771B"/>
    <w:rsid w:val="003A7720"/>
    <w:rsid w:val="003A79BE"/>
    <w:rsid w:val="003A7AE1"/>
    <w:rsid w:val="003A7DD0"/>
    <w:rsid w:val="003A7E8D"/>
    <w:rsid w:val="003B02A9"/>
    <w:rsid w:val="003B0627"/>
    <w:rsid w:val="003B0C2F"/>
    <w:rsid w:val="003B0F0F"/>
    <w:rsid w:val="003B0F26"/>
    <w:rsid w:val="003B0F57"/>
    <w:rsid w:val="003B120F"/>
    <w:rsid w:val="003B1487"/>
    <w:rsid w:val="003B1560"/>
    <w:rsid w:val="003B1B8C"/>
    <w:rsid w:val="003B1BBD"/>
    <w:rsid w:val="003B242A"/>
    <w:rsid w:val="003B24F2"/>
    <w:rsid w:val="003B26FA"/>
    <w:rsid w:val="003B298E"/>
    <w:rsid w:val="003B2A7D"/>
    <w:rsid w:val="003B2C2B"/>
    <w:rsid w:val="003B2CD4"/>
    <w:rsid w:val="003B3117"/>
    <w:rsid w:val="003B3206"/>
    <w:rsid w:val="003B32AB"/>
    <w:rsid w:val="003B3496"/>
    <w:rsid w:val="003B3744"/>
    <w:rsid w:val="003B3D87"/>
    <w:rsid w:val="003B3D9D"/>
    <w:rsid w:val="003B4111"/>
    <w:rsid w:val="003B4240"/>
    <w:rsid w:val="003B4297"/>
    <w:rsid w:val="003B433A"/>
    <w:rsid w:val="003B45AF"/>
    <w:rsid w:val="003B468B"/>
    <w:rsid w:val="003B47F5"/>
    <w:rsid w:val="003B4924"/>
    <w:rsid w:val="003B4D74"/>
    <w:rsid w:val="003B4F86"/>
    <w:rsid w:val="003B5800"/>
    <w:rsid w:val="003B5824"/>
    <w:rsid w:val="003B586D"/>
    <w:rsid w:val="003B59E5"/>
    <w:rsid w:val="003B6399"/>
    <w:rsid w:val="003B6C09"/>
    <w:rsid w:val="003B7837"/>
    <w:rsid w:val="003B7BF6"/>
    <w:rsid w:val="003B7C7F"/>
    <w:rsid w:val="003B7E30"/>
    <w:rsid w:val="003C05EB"/>
    <w:rsid w:val="003C1019"/>
    <w:rsid w:val="003C1312"/>
    <w:rsid w:val="003C1972"/>
    <w:rsid w:val="003C1981"/>
    <w:rsid w:val="003C1BE2"/>
    <w:rsid w:val="003C1C88"/>
    <w:rsid w:val="003C2094"/>
    <w:rsid w:val="003C2252"/>
    <w:rsid w:val="003C2333"/>
    <w:rsid w:val="003C2415"/>
    <w:rsid w:val="003C2896"/>
    <w:rsid w:val="003C2CE4"/>
    <w:rsid w:val="003C2EFA"/>
    <w:rsid w:val="003C3276"/>
    <w:rsid w:val="003C32CE"/>
    <w:rsid w:val="003C3310"/>
    <w:rsid w:val="003C334B"/>
    <w:rsid w:val="003C3AB8"/>
    <w:rsid w:val="003C3DD5"/>
    <w:rsid w:val="003C40E8"/>
    <w:rsid w:val="003C454D"/>
    <w:rsid w:val="003C46FB"/>
    <w:rsid w:val="003C4BEC"/>
    <w:rsid w:val="003C4BF0"/>
    <w:rsid w:val="003C4C53"/>
    <w:rsid w:val="003C5791"/>
    <w:rsid w:val="003C5A7E"/>
    <w:rsid w:val="003C5CD2"/>
    <w:rsid w:val="003C6021"/>
    <w:rsid w:val="003C6115"/>
    <w:rsid w:val="003C6287"/>
    <w:rsid w:val="003C6306"/>
    <w:rsid w:val="003C6910"/>
    <w:rsid w:val="003C6B6C"/>
    <w:rsid w:val="003C6D51"/>
    <w:rsid w:val="003C6D6B"/>
    <w:rsid w:val="003C6D83"/>
    <w:rsid w:val="003C6E9C"/>
    <w:rsid w:val="003C7216"/>
    <w:rsid w:val="003C75F6"/>
    <w:rsid w:val="003C76DE"/>
    <w:rsid w:val="003C78FA"/>
    <w:rsid w:val="003C7DAB"/>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70"/>
    <w:rsid w:val="003D2046"/>
    <w:rsid w:val="003D2368"/>
    <w:rsid w:val="003D26CB"/>
    <w:rsid w:val="003D2881"/>
    <w:rsid w:val="003D2D68"/>
    <w:rsid w:val="003D2DF1"/>
    <w:rsid w:val="003D35EF"/>
    <w:rsid w:val="003D3EC9"/>
    <w:rsid w:val="003D4202"/>
    <w:rsid w:val="003D4329"/>
    <w:rsid w:val="003D4636"/>
    <w:rsid w:val="003D499B"/>
    <w:rsid w:val="003D4B4C"/>
    <w:rsid w:val="003D4C58"/>
    <w:rsid w:val="003D4CBF"/>
    <w:rsid w:val="003D4F6A"/>
    <w:rsid w:val="003D500E"/>
    <w:rsid w:val="003D5169"/>
    <w:rsid w:val="003D5437"/>
    <w:rsid w:val="003D557B"/>
    <w:rsid w:val="003D5712"/>
    <w:rsid w:val="003D5AA4"/>
    <w:rsid w:val="003D5BA1"/>
    <w:rsid w:val="003D5DCB"/>
    <w:rsid w:val="003D61E5"/>
    <w:rsid w:val="003D6692"/>
    <w:rsid w:val="003D6CFF"/>
    <w:rsid w:val="003D6E41"/>
    <w:rsid w:val="003D6F36"/>
    <w:rsid w:val="003D6F46"/>
    <w:rsid w:val="003D707F"/>
    <w:rsid w:val="003D7218"/>
    <w:rsid w:val="003D72B2"/>
    <w:rsid w:val="003D739E"/>
    <w:rsid w:val="003D741E"/>
    <w:rsid w:val="003D77D6"/>
    <w:rsid w:val="003D782D"/>
    <w:rsid w:val="003D7B69"/>
    <w:rsid w:val="003D7F13"/>
    <w:rsid w:val="003D7F5A"/>
    <w:rsid w:val="003E00E8"/>
    <w:rsid w:val="003E05DC"/>
    <w:rsid w:val="003E06C6"/>
    <w:rsid w:val="003E08D1"/>
    <w:rsid w:val="003E0E02"/>
    <w:rsid w:val="003E0E80"/>
    <w:rsid w:val="003E14A1"/>
    <w:rsid w:val="003E1742"/>
    <w:rsid w:val="003E1AB2"/>
    <w:rsid w:val="003E1B34"/>
    <w:rsid w:val="003E1F7B"/>
    <w:rsid w:val="003E2447"/>
    <w:rsid w:val="003E289E"/>
    <w:rsid w:val="003E29BA"/>
    <w:rsid w:val="003E29BC"/>
    <w:rsid w:val="003E2C4D"/>
    <w:rsid w:val="003E3645"/>
    <w:rsid w:val="003E3ABC"/>
    <w:rsid w:val="003E3ADF"/>
    <w:rsid w:val="003E3CBC"/>
    <w:rsid w:val="003E3E3B"/>
    <w:rsid w:val="003E43FB"/>
    <w:rsid w:val="003E4475"/>
    <w:rsid w:val="003E47BE"/>
    <w:rsid w:val="003E4892"/>
    <w:rsid w:val="003E4AEE"/>
    <w:rsid w:val="003E4B30"/>
    <w:rsid w:val="003E4BCA"/>
    <w:rsid w:val="003E4BF4"/>
    <w:rsid w:val="003E4F0B"/>
    <w:rsid w:val="003E576C"/>
    <w:rsid w:val="003E5A29"/>
    <w:rsid w:val="003E5CBD"/>
    <w:rsid w:val="003E5EA0"/>
    <w:rsid w:val="003E5F3C"/>
    <w:rsid w:val="003E5FD6"/>
    <w:rsid w:val="003E61A6"/>
    <w:rsid w:val="003E64F0"/>
    <w:rsid w:val="003E6759"/>
    <w:rsid w:val="003E69F6"/>
    <w:rsid w:val="003E6C2A"/>
    <w:rsid w:val="003E71D0"/>
    <w:rsid w:val="003E72C2"/>
    <w:rsid w:val="003E7788"/>
    <w:rsid w:val="003E78F3"/>
    <w:rsid w:val="003E7939"/>
    <w:rsid w:val="003E7F9C"/>
    <w:rsid w:val="003F0053"/>
    <w:rsid w:val="003F016F"/>
    <w:rsid w:val="003F0215"/>
    <w:rsid w:val="003F0926"/>
    <w:rsid w:val="003F0D5F"/>
    <w:rsid w:val="003F0E83"/>
    <w:rsid w:val="003F11A9"/>
    <w:rsid w:val="003F1462"/>
    <w:rsid w:val="003F15B2"/>
    <w:rsid w:val="003F15F5"/>
    <w:rsid w:val="003F1A72"/>
    <w:rsid w:val="003F1AB8"/>
    <w:rsid w:val="003F1C41"/>
    <w:rsid w:val="003F1DA4"/>
    <w:rsid w:val="003F1E9E"/>
    <w:rsid w:val="003F1EDD"/>
    <w:rsid w:val="003F2003"/>
    <w:rsid w:val="003F21A6"/>
    <w:rsid w:val="003F229B"/>
    <w:rsid w:val="003F2306"/>
    <w:rsid w:val="003F2671"/>
    <w:rsid w:val="003F27D5"/>
    <w:rsid w:val="003F2832"/>
    <w:rsid w:val="003F2910"/>
    <w:rsid w:val="003F2930"/>
    <w:rsid w:val="003F3325"/>
    <w:rsid w:val="003F35AA"/>
    <w:rsid w:val="003F398C"/>
    <w:rsid w:val="003F3CAF"/>
    <w:rsid w:val="003F3CFA"/>
    <w:rsid w:val="003F3DC5"/>
    <w:rsid w:val="003F3EBF"/>
    <w:rsid w:val="003F4675"/>
    <w:rsid w:val="003F4999"/>
    <w:rsid w:val="003F4B0C"/>
    <w:rsid w:val="003F511F"/>
    <w:rsid w:val="003F521B"/>
    <w:rsid w:val="003F5304"/>
    <w:rsid w:val="003F5516"/>
    <w:rsid w:val="003F5544"/>
    <w:rsid w:val="003F58AE"/>
    <w:rsid w:val="003F58C7"/>
    <w:rsid w:val="003F58D2"/>
    <w:rsid w:val="003F5B22"/>
    <w:rsid w:val="003F5B26"/>
    <w:rsid w:val="003F5F8F"/>
    <w:rsid w:val="003F5F99"/>
    <w:rsid w:val="003F621C"/>
    <w:rsid w:val="003F6313"/>
    <w:rsid w:val="003F651E"/>
    <w:rsid w:val="003F6697"/>
    <w:rsid w:val="003F66A5"/>
    <w:rsid w:val="003F6714"/>
    <w:rsid w:val="003F67B9"/>
    <w:rsid w:val="003F6A59"/>
    <w:rsid w:val="003F6B1A"/>
    <w:rsid w:val="003F6B41"/>
    <w:rsid w:val="003F72C3"/>
    <w:rsid w:val="003F7622"/>
    <w:rsid w:val="003F7892"/>
    <w:rsid w:val="003F7C99"/>
    <w:rsid w:val="0040025F"/>
    <w:rsid w:val="00400B48"/>
    <w:rsid w:val="00400C56"/>
    <w:rsid w:val="00400DCA"/>
    <w:rsid w:val="00400F24"/>
    <w:rsid w:val="0040104E"/>
    <w:rsid w:val="00401083"/>
    <w:rsid w:val="004013F3"/>
    <w:rsid w:val="0040196D"/>
    <w:rsid w:val="00402138"/>
    <w:rsid w:val="004026C2"/>
    <w:rsid w:val="00402B49"/>
    <w:rsid w:val="00402BEC"/>
    <w:rsid w:val="00402DD5"/>
    <w:rsid w:val="00402F55"/>
    <w:rsid w:val="0040320C"/>
    <w:rsid w:val="004035AB"/>
    <w:rsid w:val="0040420F"/>
    <w:rsid w:val="00404295"/>
    <w:rsid w:val="004042B7"/>
    <w:rsid w:val="00404B66"/>
    <w:rsid w:val="00404BDB"/>
    <w:rsid w:val="00404DFB"/>
    <w:rsid w:val="00404F18"/>
    <w:rsid w:val="004056BA"/>
    <w:rsid w:val="00405819"/>
    <w:rsid w:val="0040589B"/>
    <w:rsid w:val="00405A25"/>
    <w:rsid w:val="00405B7C"/>
    <w:rsid w:val="00405BA1"/>
    <w:rsid w:val="00406478"/>
    <w:rsid w:val="004066C8"/>
    <w:rsid w:val="00406B6F"/>
    <w:rsid w:val="00406D7E"/>
    <w:rsid w:val="00407091"/>
    <w:rsid w:val="0040734E"/>
    <w:rsid w:val="004073A6"/>
    <w:rsid w:val="004074C5"/>
    <w:rsid w:val="00407AFD"/>
    <w:rsid w:val="00407B80"/>
    <w:rsid w:val="00407F9F"/>
    <w:rsid w:val="00410333"/>
    <w:rsid w:val="00410504"/>
    <w:rsid w:val="0041072B"/>
    <w:rsid w:val="004109E3"/>
    <w:rsid w:val="00410A99"/>
    <w:rsid w:val="00410ADF"/>
    <w:rsid w:val="00410B1D"/>
    <w:rsid w:val="004110B8"/>
    <w:rsid w:val="0041129A"/>
    <w:rsid w:val="00412030"/>
    <w:rsid w:val="004122AC"/>
    <w:rsid w:val="004123C4"/>
    <w:rsid w:val="004127FA"/>
    <w:rsid w:val="004130C7"/>
    <w:rsid w:val="004131A1"/>
    <w:rsid w:val="004131D9"/>
    <w:rsid w:val="004134EC"/>
    <w:rsid w:val="0041390E"/>
    <w:rsid w:val="0041395C"/>
    <w:rsid w:val="00413A12"/>
    <w:rsid w:val="00413B5F"/>
    <w:rsid w:val="00413CE4"/>
    <w:rsid w:val="004143AE"/>
    <w:rsid w:val="004144C4"/>
    <w:rsid w:val="004145DB"/>
    <w:rsid w:val="0041479B"/>
    <w:rsid w:val="00414BB3"/>
    <w:rsid w:val="00414DA0"/>
    <w:rsid w:val="00414F97"/>
    <w:rsid w:val="004156F0"/>
    <w:rsid w:val="00415963"/>
    <w:rsid w:val="00415B16"/>
    <w:rsid w:val="00415BE4"/>
    <w:rsid w:val="00416324"/>
    <w:rsid w:val="00416387"/>
    <w:rsid w:val="0041669D"/>
    <w:rsid w:val="004168D2"/>
    <w:rsid w:val="00416961"/>
    <w:rsid w:val="00416A8B"/>
    <w:rsid w:val="00416AC5"/>
    <w:rsid w:val="00416E3B"/>
    <w:rsid w:val="004174E5"/>
    <w:rsid w:val="00417514"/>
    <w:rsid w:val="004175A0"/>
    <w:rsid w:val="004178EC"/>
    <w:rsid w:val="00417BF0"/>
    <w:rsid w:val="004201F7"/>
    <w:rsid w:val="004204D3"/>
    <w:rsid w:val="00420783"/>
    <w:rsid w:val="00420856"/>
    <w:rsid w:val="00420A08"/>
    <w:rsid w:val="00420BD3"/>
    <w:rsid w:val="00420DA3"/>
    <w:rsid w:val="00421298"/>
    <w:rsid w:val="0042133E"/>
    <w:rsid w:val="0042173B"/>
    <w:rsid w:val="00421A42"/>
    <w:rsid w:val="00421BE5"/>
    <w:rsid w:val="00421DA2"/>
    <w:rsid w:val="00421E8E"/>
    <w:rsid w:val="00421EAB"/>
    <w:rsid w:val="00422175"/>
    <w:rsid w:val="00422407"/>
    <w:rsid w:val="00422C3C"/>
    <w:rsid w:val="00422F97"/>
    <w:rsid w:val="00423772"/>
    <w:rsid w:val="00423779"/>
    <w:rsid w:val="00423888"/>
    <w:rsid w:val="00423E8A"/>
    <w:rsid w:val="00423EDC"/>
    <w:rsid w:val="004240F5"/>
    <w:rsid w:val="00424102"/>
    <w:rsid w:val="004243AF"/>
    <w:rsid w:val="00424423"/>
    <w:rsid w:val="004244F0"/>
    <w:rsid w:val="00424612"/>
    <w:rsid w:val="0042516C"/>
    <w:rsid w:val="00425657"/>
    <w:rsid w:val="004258AE"/>
    <w:rsid w:val="00425926"/>
    <w:rsid w:val="004259D5"/>
    <w:rsid w:val="00425B5B"/>
    <w:rsid w:val="00425DC9"/>
    <w:rsid w:val="00426005"/>
    <w:rsid w:val="004260A3"/>
    <w:rsid w:val="00426275"/>
    <w:rsid w:val="004262C2"/>
    <w:rsid w:val="004262DD"/>
    <w:rsid w:val="004264A9"/>
    <w:rsid w:val="0042655C"/>
    <w:rsid w:val="004267DD"/>
    <w:rsid w:val="00426923"/>
    <w:rsid w:val="004269DA"/>
    <w:rsid w:val="00426C96"/>
    <w:rsid w:val="004270C6"/>
    <w:rsid w:val="00427332"/>
    <w:rsid w:val="0042735E"/>
    <w:rsid w:val="004273D7"/>
    <w:rsid w:val="004273F8"/>
    <w:rsid w:val="00427446"/>
    <w:rsid w:val="0042754B"/>
    <w:rsid w:val="00427682"/>
    <w:rsid w:val="00427A20"/>
    <w:rsid w:val="00427D41"/>
    <w:rsid w:val="004301E4"/>
    <w:rsid w:val="00430298"/>
    <w:rsid w:val="00430660"/>
    <w:rsid w:val="00430693"/>
    <w:rsid w:val="00430927"/>
    <w:rsid w:val="00430978"/>
    <w:rsid w:val="00431333"/>
    <w:rsid w:val="00431969"/>
    <w:rsid w:val="00431BA6"/>
    <w:rsid w:val="00431CF5"/>
    <w:rsid w:val="00431D22"/>
    <w:rsid w:val="00431FA8"/>
    <w:rsid w:val="00432C7D"/>
    <w:rsid w:val="0043301E"/>
    <w:rsid w:val="004336B5"/>
    <w:rsid w:val="00433E15"/>
    <w:rsid w:val="00433E63"/>
    <w:rsid w:val="00433E8F"/>
    <w:rsid w:val="00434137"/>
    <w:rsid w:val="00434191"/>
    <w:rsid w:val="0043477F"/>
    <w:rsid w:val="004347A7"/>
    <w:rsid w:val="0043480A"/>
    <w:rsid w:val="0043496D"/>
    <w:rsid w:val="00434A2E"/>
    <w:rsid w:val="00434B63"/>
    <w:rsid w:val="00434BE2"/>
    <w:rsid w:val="00434D13"/>
    <w:rsid w:val="00434DE9"/>
    <w:rsid w:val="004355E0"/>
    <w:rsid w:val="0043573A"/>
    <w:rsid w:val="004359AD"/>
    <w:rsid w:val="00435C42"/>
    <w:rsid w:val="00435D3D"/>
    <w:rsid w:val="00435F39"/>
    <w:rsid w:val="004362E2"/>
    <w:rsid w:val="004366E1"/>
    <w:rsid w:val="00436A19"/>
    <w:rsid w:val="00436A59"/>
    <w:rsid w:val="00436D88"/>
    <w:rsid w:val="00436FEA"/>
    <w:rsid w:val="00437000"/>
    <w:rsid w:val="0043715A"/>
    <w:rsid w:val="00437345"/>
    <w:rsid w:val="00437360"/>
    <w:rsid w:val="00437A99"/>
    <w:rsid w:val="004401F1"/>
    <w:rsid w:val="004402CF"/>
    <w:rsid w:val="00440625"/>
    <w:rsid w:val="00440DA5"/>
    <w:rsid w:val="00440E7B"/>
    <w:rsid w:val="00441083"/>
    <w:rsid w:val="0044149C"/>
    <w:rsid w:val="00441A13"/>
    <w:rsid w:val="00441A64"/>
    <w:rsid w:val="00441C0F"/>
    <w:rsid w:val="00442255"/>
    <w:rsid w:val="004424CF"/>
    <w:rsid w:val="0044261B"/>
    <w:rsid w:val="0044261E"/>
    <w:rsid w:val="0044262A"/>
    <w:rsid w:val="004428D0"/>
    <w:rsid w:val="0044299B"/>
    <w:rsid w:val="00442B98"/>
    <w:rsid w:val="00442BFF"/>
    <w:rsid w:val="00442E5F"/>
    <w:rsid w:val="00443BA9"/>
    <w:rsid w:val="00443BF7"/>
    <w:rsid w:val="0044415B"/>
    <w:rsid w:val="00444448"/>
    <w:rsid w:val="00444613"/>
    <w:rsid w:val="00444983"/>
    <w:rsid w:val="00444A7F"/>
    <w:rsid w:val="00444AB9"/>
    <w:rsid w:val="00444BEE"/>
    <w:rsid w:val="00444F8C"/>
    <w:rsid w:val="00444FCB"/>
    <w:rsid w:val="004453C9"/>
    <w:rsid w:val="00445677"/>
    <w:rsid w:val="00445732"/>
    <w:rsid w:val="0044580E"/>
    <w:rsid w:val="0044582C"/>
    <w:rsid w:val="0044583F"/>
    <w:rsid w:val="004458C9"/>
    <w:rsid w:val="00445A1C"/>
    <w:rsid w:val="00445D8F"/>
    <w:rsid w:val="00445DB8"/>
    <w:rsid w:val="004460EF"/>
    <w:rsid w:val="0044674B"/>
    <w:rsid w:val="00446771"/>
    <w:rsid w:val="004467E6"/>
    <w:rsid w:val="00446993"/>
    <w:rsid w:val="00446A5B"/>
    <w:rsid w:val="00446B49"/>
    <w:rsid w:val="00446C44"/>
    <w:rsid w:val="00446D17"/>
    <w:rsid w:val="00446D30"/>
    <w:rsid w:val="004470A0"/>
    <w:rsid w:val="00447605"/>
    <w:rsid w:val="0044768A"/>
    <w:rsid w:val="004476D2"/>
    <w:rsid w:val="00447981"/>
    <w:rsid w:val="00447DCE"/>
    <w:rsid w:val="00447DEE"/>
    <w:rsid w:val="004509C8"/>
    <w:rsid w:val="00450C96"/>
    <w:rsid w:val="004514FF"/>
    <w:rsid w:val="00451A26"/>
    <w:rsid w:val="00451C3F"/>
    <w:rsid w:val="004521D1"/>
    <w:rsid w:val="00452292"/>
    <w:rsid w:val="0045232A"/>
    <w:rsid w:val="004525F2"/>
    <w:rsid w:val="00452796"/>
    <w:rsid w:val="00452AF6"/>
    <w:rsid w:val="0045329F"/>
    <w:rsid w:val="004533FD"/>
    <w:rsid w:val="00453449"/>
    <w:rsid w:val="0045374D"/>
    <w:rsid w:val="00453767"/>
    <w:rsid w:val="00453897"/>
    <w:rsid w:val="00453A6E"/>
    <w:rsid w:val="0045407B"/>
    <w:rsid w:val="0045424E"/>
    <w:rsid w:val="004548E4"/>
    <w:rsid w:val="00454AC3"/>
    <w:rsid w:val="00454B84"/>
    <w:rsid w:val="00454BC5"/>
    <w:rsid w:val="00454D39"/>
    <w:rsid w:val="00454F54"/>
    <w:rsid w:val="004552C8"/>
    <w:rsid w:val="004554E0"/>
    <w:rsid w:val="0045553A"/>
    <w:rsid w:val="004555BE"/>
    <w:rsid w:val="004556FE"/>
    <w:rsid w:val="00455C3C"/>
    <w:rsid w:val="00455F90"/>
    <w:rsid w:val="0045633B"/>
    <w:rsid w:val="0045679E"/>
    <w:rsid w:val="004567A8"/>
    <w:rsid w:val="00456C7B"/>
    <w:rsid w:val="00456EF9"/>
    <w:rsid w:val="00456FB2"/>
    <w:rsid w:val="00457327"/>
    <w:rsid w:val="0045754F"/>
    <w:rsid w:val="00457AD1"/>
    <w:rsid w:val="00457BD9"/>
    <w:rsid w:val="00457D9B"/>
    <w:rsid w:val="00457F0C"/>
    <w:rsid w:val="0046072B"/>
    <w:rsid w:val="004607BA"/>
    <w:rsid w:val="00460C13"/>
    <w:rsid w:val="00460DFE"/>
    <w:rsid w:val="0046122B"/>
    <w:rsid w:val="0046126F"/>
    <w:rsid w:val="00461378"/>
    <w:rsid w:val="004616F9"/>
    <w:rsid w:val="00461865"/>
    <w:rsid w:val="004618E4"/>
    <w:rsid w:val="00461F8B"/>
    <w:rsid w:val="00462613"/>
    <w:rsid w:val="00462755"/>
    <w:rsid w:val="00462832"/>
    <w:rsid w:val="00462C86"/>
    <w:rsid w:val="00462F52"/>
    <w:rsid w:val="004630E6"/>
    <w:rsid w:val="004631E5"/>
    <w:rsid w:val="00463972"/>
    <w:rsid w:val="0046409A"/>
    <w:rsid w:val="004640ED"/>
    <w:rsid w:val="004641ED"/>
    <w:rsid w:val="0046423F"/>
    <w:rsid w:val="004645F2"/>
    <w:rsid w:val="0046473C"/>
    <w:rsid w:val="0046482D"/>
    <w:rsid w:val="00464A74"/>
    <w:rsid w:val="00464DD4"/>
    <w:rsid w:val="004658BB"/>
    <w:rsid w:val="004658E3"/>
    <w:rsid w:val="00465ECA"/>
    <w:rsid w:val="00465FDF"/>
    <w:rsid w:val="004660B6"/>
    <w:rsid w:val="0046622D"/>
    <w:rsid w:val="004664CB"/>
    <w:rsid w:val="004667D7"/>
    <w:rsid w:val="00466947"/>
    <w:rsid w:val="00466B68"/>
    <w:rsid w:val="00466CA1"/>
    <w:rsid w:val="00466CDA"/>
    <w:rsid w:val="00467069"/>
    <w:rsid w:val="0046706E"/>
    <w:rsid w:val="0046721B"/>
    <w:rsid w:val="004678D4"/>
    <w:rsid w:val="00467C95"/>
    <w:rsid w:val="0047042D"/>
    <w:rsid w:val="00470508"/>
    <w:rsid w:val="00470878"/>
    <w:rsid w:val="004708F1"/>
    <w:rsid w:val="00470C44"/>
    <w:rsid w:val="0047197D"/>
    <w:rsid w:val="00471C06"/>
    <w:rsid w:val="00471D32"/>
    <w:rsid w:val="00471D67"/>
    <w:rsid w:val="00472179"/>
    <w:rsid w:val="004721F9"/>
    <w:rsid w:val="00472352"/>
    <w:rsid w:val="004726EC"/>
    <w:rsid w:val="0047274C"/>
    <w:rsid w:val="00472901"/>
    <w:rsid w:val="004729C8"/>
    <w:rsid w:val="00472AAF"/>
    <w:rsid w:val="00472F08"/>
    <w:rsid w:val="0047313C"/>
    <w:rsid w:val="00473232"/>
    <w:rsid w:val="0047360F"/>
    <w:rsid w:val="004736B9"/>
    <w:rsid w:val="004739AB"/>
    <w:rsid w:val="00473A6F"/>
    <w:rsid w:val="00473B6E"/>
    <w:rsid w:val="00474291"/>
    <w:rsid w:val="00474581"/>
    <w:rsid w:val="00474B08"/>
    <w:rsid w:val="00474B0E"/>
    <w:rsid w:val="00474B7C"/>
    <w:rsid w:val="00474C05"/>
    <w:rsid w:val="00474C1B"/>
    <w:rsid w:val="00474F1B"/>
    <w:rsid w:val="00475333"/>
    <w:rsid w:val="004753FC"/>
    <w:rsid w:val="0047550E"/>
    <w:rsid w:val="00475754"/>
    <w:rsid w:val="00475957"/>
    <w:rsid w:val="00475F69"/>
    <w:rsid w:val="00475FA8"/>
    <w:rsid w:val="004761B3"/>
    <w:rsid w:val="004763DE"/>
    <w:rsid w:val="00476913"/>
    <w:rsid w:val="00476B85"/>
    <w:rsid w:val="00476CE0"/>
    <w:rsid w:val="00477092"/>
    <w:rsid w:val="00477300"/>
    <w:rsid w:val="0047739E"/>
    <w:rsid w:val="00477514"/>
    <w:rsid w:val="004777E8"/>
    <w:rsid w:val="00477B89"/>
    <w:rsid w:val="004801B1"/>
    <w:rsid w:val="00480C09"/>
    <w:rsid w:val="00481193"/>
    <w:rsid w:val="00481351"/>
    <w:rsid w:val="004815B9"/>
    <w:rsid w:val="004816AB"/>
    <w:rsid w:val="00481ABF"/>
    <w:rsid w:val="00481AC6"/>
    <w:rsid w:val="00481F2F"/>
    <w:rsid w:val="004820FA"/>
    <w:rsid w:val="004822A4"/>
    <w:rsid w:val="004824E2"/>
    <w:rsid w:val="0048271D"/>
    <w:rsid w:val="00482C74"/>
    <w:rsid w:val="00482F47"/>
    <w:rsid w:val="00483243"/>
    <w:rsid w:val="00483319"/>
    <w:rsid w:val="00483365"/>
    <w:rsid w:val="004833F3"/>
    <w:rsid w:val="004834E1"/>
    <w:rsid w:val="00483549"/>
    <w:rsid w:val="00483716"/>
    <w:rsid w:val="0048375E"/>
    <w:rsid w:val="00483B16"/>
    <w:rsid w:val="00483B96"/>
    <w:rsid w:val="00483D3E"/>
    <w:rsid w:val="00483ED7"/>
    <w:rsid w:val="00484C64"/>
    <w:rsid w:val="00484CAA"/>
    <w:rsid w:val="00484D71"/>
    <w:rsid w:val="00484F11"/>
    <w:rsid w:val="00484FB6"/>
    <w:rsid w:val="00485939"/>
    <w:rsid w:val="0048636A"/>
    <w:rsid w:val="0048654B"/>
    <w:rsid w:val="004865D5"/>
    <w:rsid w:val="004865E5"/>
    <w:rsid w:val="00486CA7"/>
    <w:rsid w:val="00486D5B"/>
    <w:rsid w:val="00486E91"/>
    <w:rsid w:val="004871C6"/>
    <w:rsid w:val="004871CF"/>
    <w:rsid w:val="004873E3"/>
    <w:rsid w:val="00487506"/>
    <w:rsid w:val="00487FD3"/>
    <w:rsid w:val="00490253"/>
    <w:rsid w:val="004902AD"/>
    <w:rsid w:val="00490413"/>
    <w:rsid w:val="004905B3"/>
    <w:rsid w:val="00490A41"/>
    <w:rsid w:val="00490C55"/>
    <w:rsid w:val="00490FE0"/>
    <w:rsid w:val="00491293"/>
    <w:rsid w:val="0049163D"/>
    <w:rsid w:val="0049166A"/>
    <w:rsid w:val="004916B5"/>
    <w:rsid w:val="00491C2A"/>
    <w:rsid w:val="00491D49"/>
    <w:rsid w:val="00491DA9"/>
    <w:rsid w:val="00491F4A"/>
    <w:rsid w:val="00492263"/>
    <w:rsid w:val="00492450"/>
    <w:rsid w:val="0049253B"/>
    <w:rsid w:val="004925FE"/>
    <w:rsid w:val="0049269E"/>
    <w:rsid w:val="0049297A"/>
    <w:rsid w:val="00492B95"/>
    <w:rsid w:val="00492DAD"/>
    <w:rsid w:val="004930FD"/>
    <w:rsid w:val="004934C2"/>
    <w:rsid w:val="0049353A"/>
    <w:rsid w:val="004938DF"/>
    <w:rsid w:val="004939C5"/>
    <w:rsid w:val="00493A17"/>
    <w:rsid w:val="00493CF5"/>
    <w:rsid w:val="00493D19"/>
    <w:rsid w:val="00493DA0"/>
    <w:rsid w:val="0049446A"/>
    <w:rsid w:val="004945D5"/>
    <w:rsid w:val="004946F3"/>
    <w:rsid w:val="00494A79"/>
    <w:rsid w:val="00494CCF"/>
    <w:rsid w:val="00494E86"/>
    <w:rsid w:val="00494E96"/>
    <w:rsid w:val="00495A6C"/>
    <w:rsid w:val="00495CAC"/>
    <w:rsid w:val="00495F95"/>
    <w:rsid w:val="00495FC6"/>
    <w:rsid w:val="00496355"/>
    <w:rsid w:val="004964AD"/>
    <w:rsid w:val="0049682F"/>
    <w:rsid w:val="0049697F"/>
    <w:rsid w:val="00496A9B"/>
    <w:rsid w:val="00496DED"/>
    <w:rsid w:val="00496F04"/>
    <w:rsid w:val="004971B7"/>
    <w:rsid w:val="004971DF"/>
    <w:rsid w:val="004976D6"/>
    <w:rsid w:val="00497DFD"/>
    <w:rsid w:val="004A0057"/>
    <w:rsid w:val="004A0083"/>
    <w:rsid w:val="004A0133"/>
    <w:rsid w:val="004A053A"/>
    <w:rsid w:val="004A057E"/>
    <w:rsid w:val="004A0B6C"/>
    <w:rsid w:val="004A0BDA"/>
    <w:rsid w:val="004A0DB3"/>
    <w:rsid w:val="004A0ECB"/>
    <w:rsid w:val="004A0FF8"/>
    <w:rsid w:val="004A0FF9"/>
    <w:rsid w:val="004A17E7"/>
    <w:rsid w:val="004A1824"/>
    <w:rsid w:val="004A1A15"/>
    <w:rsid w:val="004A1E3C"/>
    <w:rsid w:val="004A2132"/>
    <w:rsid w:val="004A2182"/>
    <w:rsid w:val="004A22C0"/>
    <w:rsid w:val="004A251A"/>
    <w:rsid w:val="004A2841"/>
    <w:rsid w:val="004A2E75"/>
    <w:rsid w:val="004A2EF8"/>
    <w:rsid w:val="004A2F37"/>
    <w:rsid w:val="004A3363"/>
    <w:rsid w:val="004A33C5"/>
    <w:rsid w:val="004A35BF"/>
    <w:rsid w:val="004A3677"/>
    <w:rsid w:val="004A3C47"/>
    <w:rsid w:val="004A3F20"/>
    <w:rsid w:val="004A421F"/>
    <w:rsid w:val="004A4282"/>
    <w:rsid w:val="004A43BE"/>
    <w:rsid w:val="004A4439"/>
    <w:rsid w:val="004A46C3"/>
    <w:rsid w:val="004A478F"/>
    <w:rsid w:val="004A47E6"/>
    <w:rsid w:val="004A49E9"/>
    <w:rsid w:val="004A49EE"/>
    <w:rsid w:val="004A4A0F"/>
    <w:rsid w:val="004A4A51"/>
    <w:rsid w:val="004A4D66"/>
    <w:rsid w:val="004A4D84"/>
    <w:rsid w:val="004A50E0"/>
    <w:rsid w:val="004A53EB"/>
    <w:rsid w:val="004A5607"/>
    <w:rsid w:val="004A58B2"/>
    <w:rsid w:val="004A61AF"/>
    <w:rsid w:val="004A633A"/>
    <w:rsid w:val="004A654D"/>
    <w:rsid w:val="004A6582"/>
    <w:rsid w:val="004A66C7"/>
    <w:rsid w:val="004A670D"/>
    <w:rsid w:val="004A6A19"/>
    <w:rsid w:val="004A6A62"/>
    <w:rsid w:val="004A6C23"/>
    <w:rsid w:val="004A6E92"/>
    <w:rsid w:val="004A6FCE"/>
    <w:rsid w:val="004A715A"/>
    <w:rsid w:val="004A724B"/>
    <w:rsid w:val="004A776C"/>
    <w:rsid w:val="004A7C06"/>
    <w:rsid w:val="004A7E47"/>
    <w:rsid w:val="004B01F5"/>
    <w:rsid w:val="004B01F9"/>
    <w:rsid w:val="004B03D9"/>
    <w:rsid w:val="004B0541"/>
    <w:rsid w:val="004B069B"/>
    <w:rsid w:val="004B075A"/>
    <w:rsid w:val="004B080D"/>
    <w:rsid w:val="004B0A57"/>
    <w:rsid w:val="004B0C8C"/>
    <w:rsid w:val="004B10BA"/>
    <w:rsid w:val="004B18C9"/>
    <w:rsid w:val="004B1962"/>
    <w:rsid w:val="004B19F3"/>
    <w:rsid w:val="004B19F7"/>
    <w:rsid w:val="004B1E05"/>
    <w:rsid w:val="004B1EC9"/>
    <w:rsid w:val="004B21F2"/>
    <w:rsid w:val="004B2486"/>
    <w:rsid w:val="004B2B4B"/>
    <w:rsid w:val="004B2CA0"/>
    <w:rsid w:val="004B2F4E"/>
    <w:rsid w:val="004B32BF"/>
    <w:rsid w:val="004B356A"/>
    <w:rsid w:val="004B35EE"/>
    <w:rsid w:val="004B37A0"/>
    <w:rsid w:val="004B3B62"/>
    <w:rsid w:val="004B3D21"/>
    <w:rsid w:val="004B40E0"/>
    <w:rsid w:val="004B41BB"/>
    <w:rsid w:val="004B424F"/>
    <w:rsid w:val="004B4C38"/>
    <w:rsid w:val="004B52DF"/>
    <w:rsid w:val="004B5426"/>
    <w:rsid w:val="004B5556"/>
    <w:rsid w:val="004B55D1"/>
    <w:rsid w:val="004B5622"/>
    <w:rsid w:val="004B5626"/>
    <w:rsid w:val="004B5B85"/>
    <w:rsid w:val="004B5DFC"/>
    <w:rsid w:val="004B617E"/>
    <w:rsid w:val="004B6194"/>
    <w:rsid w:val="004B6299"/>
    <w:rsid w:val="004B66F7"/>
    <w:rsid w:val="004B689C"/>
    <w:rsid w:val="004B693B"/>
    <w:rsid w:val="004B6C70"/>
    <w:rsid w:val="004B708F"/>
    <w:rsid w:val="004B70C6"/>
    <w:rsid w:val="004B70CC"/>
    <w:rsid w:val="004B73E3"/>
    <w:rsid w:val="004B7550"/>
    <w:rsid w:val="004B78AB"/>
    <w:rsid w:val="004B796C"/>
    <w:rsid w:val="004B797A"/>
    <w:rsid w:val="004B7ADF"/>
    <w:rsid w:val="004B7E90"/>
    <w:rsid w:val="004C04E6"/>
    <w:rsid w:val="004C050E"/>
    <w:rsid w:val="004C096C"/>
    <w:rsid w:val="004C0CF0"/>
    <w:rsid w:val="004C0E02"/>
    <w:rsid w:val="004C1314"/>
    <w:rsid w:val="004C142A"/>
    <w:rsid w:val="004C147E"/>
    <w:rsid w:val="004C14D3"/>
    <w:rsid w:val="004C1A6A"/>
    <w:rsid w:val="004C1DB3"/>
    <w:rsid w:val="004C22EC"/>
    <w:rsid w:val="004C238E"/>
    <w:rsid w:val="004C28C2"/>
    <w:rsid w:val="004C34A2"/>
    <w:rsid w:val="004C3BCC"/>
    <w:rsid w:val="004C3D11"/>
    <w:rsid w:val="004C40C4"/>
    <w:rsid w:val="004C40ED"/>
    <w:rsid w:val="004C424A"/>
    <w:rsid w:val="004C4501"/>
    <w:rsid w:val="004C4864"/>
    <w:rsid w:val="004C48F6"/>
    <w:rsid w:val="004C4FA4"/>
    <w:rsid w:val="004C5273"/>
    <w:rsid w:val="004C531C"/>
    <w:rsid w:val="004C5480"/>
    <w:rsid w:val="004C54F6"/>
    <w:rsid w:val="004C5511"/>
    <w:rsid w:val="004C5649"/>
    <w:rsid w:val="004C59BE"/>
    <w:rsid w:val="004C5A20"/>
    <w:rsid w:val="004C5C95"/>
    <w:rsid w:val="004C5D2C"/>
    <w:rsid w:val="004C639F"/>
    <w:rsid w:val="004C6C44"/>
    <w:rsid w:val="004C6CB1"/>
    <w:rsid w:val="004C6E25"/>
    <w:rsid w:val="004C702B"/>
    <w:rsid w:val="004C713E"/>
    <w:rsid w:val="004C7599"/>
    <w:rsid w:val="004C7705"/>
    <w:rsid w:val="004C7AE3"/>
    <w:rsid w:val="004C7B2C"/>
    <w:rsid w:val="004C7BCB"/>
    <w:rsid w:val="004C7F61"/>
    <w:rsid w:val="004C7FA2"/>
    <w:rsid w:val="004D00C0"/>
    <w:rsid w:val="004D02EE"/>
    <w:rsid w:val="004D03BA"/>
    <w:rsid w:val="004D04A2"/>
    <w:rsid w:val="004D0597"/>
    <w:rsid w:val="004D071D"/>
    <w:rsid w:val="004D0A8C"/>
    <w:rsid w:val="004D0C80"/>
    <w:rsid w:val="004D0EC3"/>
    <w:rsid w:val="004D0ED5"/>
    <w:rsid w:val="004D10A1"/>
    <w:rsid w:val="004D14D6"/>
    <w:rsid w:val="004D1BEB"/>
    <w:rsid w:val="004D1C48"/>
    <w:rsid w:val="004D2162"/>
    <w:rsid w:val="004D221A"/>
    <w:rsid w:val="004D23F2"/>
    <w:rsid w:val="004D2405"/>
    <w:rsid w:val="004D244F"/>
    <w:rsid w:val="004D247E"/>
    <w:rsid w:val="004D26B3"/>
    <w:rsid w:val="004D2A79"/>
    <w:rsid w:val="004D2BE9"/>
    <w:rsid w:val="004D2E86"/>
    <w:rsid w:val="004D2FC7"/>
    <w:rsid w:val="004D2FE1"/>
    <w:rsid w:val="004D317B"/>
    <w:rsid w:val="004D3288"/>
    <w:rsid w:val="004D3293"/>
    <w:rsid w:val="004D32FF"/>
    <w:rsid w:val="004D3306"/>
    <w:rsid w:val="004D34E1"/>
    <w:rsid w:val="004D36E1"/>
    <w:rsid w:val="004D385E"/>
    <w:rsid w:val="004D3888"/>
    <w:rsid w:val="004D389C"/>
    <w:rsid w:val="004D3952"/>
    <w:rsid w:val="004D3A3E"/>
    <w:rsid w:val="004D3A61"/>
    <w:rsid w:val="004D3AE5"/>
    <w:rsid w:val="004D4160"/>
    <w:rsid w:val="004D4263"/>
    <w:rsid w:val="004D4D1B"/>
    <w:rsid w:val="004D4F4C"/>
    <w:rsid w:val="004D4FCC"/>
    <w:rsid w:val="004D52F6"/>
    <w:rsid w:val="004D5606"/>
    <w:rsid w:val="004D561F"/>
    <w:rsid w:val="004D5A01"/>
    <w:rsid w:val="004D5A45"/>
    <w:rsid w:val="004D5A71"/>
    <w:rsid w:val="004D5B42"/>
    <w:rsid w:val="004D5C60"/>
    <w:rsid w:val="004D5D0E"/>
    <w:rsid w:val="004D5E66"/>
    <w:rsid w:val="004D6020"/>
    <w:rsid w:val="004D6090"/>
    <w:rsid w:val="004D6157"/>
    <w:rsid w:val="004D679B"/>
    <w:rsid w:val="004D67BB"/>
    <w:rsid w:val="004D6BDA"/>
    <w:rsid w:val="004D7211"/>
    <w:rsid w:val="004D7289"/>
    <w:rsid w:val="004D752A"/>
    <w:rsid w:val="004D79FF"/>
    <w:rsid w:val="004D7B84"/>
    <w:rsid w:val="004D7FD0"/>
    <w:rsid w:val="004E04B2"/>
    <w:rsid w:val="004E0D07"/>
    <w:rsid w:val="004E0D6B"/>
    <w:rsid w:val="004E105C"/>
    <w:rsid w:val="004E118E"/>
    <w:rsid w:val="004E11F4"/>
    <w:rsid w:val="004E161C"/>
    <w:rsid w:val="004E170B"/>
    <w:rsid w:val="004E181E"/>
    <w:rsid w:val="004E1947"/>
    <w:rsid w:val="004E1C29"/>
    <w:rsid w:val="004E1D68"/>
    <w:rsid w:val="004E229E"/>
    <w:rsid w:val="004E22D6"/>
    <w:rsid w:val="004E238A"/>
    <w:rsid w:val="004E241E"/>
    <w:rsid w:val="004E2A82"/>
    <w:rsid w:val="004E2BD0"/>
    <w:rsid w:val="004E328C"/>
    <w:rsid w:val="004E3718"/>
    <w:rsid w:val="004E389A"/>
    <w:rsid w:val="004E39CE"/>
    <w:rsid w:val="004E3B09"/>
    <w:rsid w:val="004E3D72"/>
    <w:rsid w:val="004E3E13"/>
    <w:rsid w:val="004E3EF0"/>
    <w:rsid w:val="004E4A16"/>
    <w:rsid w:val="004E4A99"/>
    <w:rsid w:val="004E4E56"/>
    <w:rsid w:val="004E4FD3"/>
    <w:rsid w:val="004E54D5"/>
    <w:rsid w:val="004E55C6"/>
    <w:rsid w:val="004E58DC"/>
    <w:rsid w:val="004E5EA0"/>
    <w:rsid w:val="004E5F65"/>
    <w:rsid w:val="004E6273"/>
    <w:rsid w:val="004E6566"/>
    <w:rsid w:val="004E67CC"/>
    <w:rsid w:val="004E683E"/>
    <w:rsid w:val="004E6920"/>
    <w:rsid w:val="004E69E5"/>
    <w:rsid w:val="004E6D48"/>
    <w:rsid w:val="004E6E1E"/>
    <w:rsid w:val="004E6FF7"/>
    <w:rsid w:val="004E73C7"/>
    <w:rsid w:val="004E7917"/>
    <w:rsid w:val="004E7A0A"/>
    <w:rsid w:val="004E7B7E"/>
    <w:rsid w:val="004E7EAF"/>
    <w:rsid w:val="004F029F"/>
    <w:rsid w:val="004F0360"/>
    <w:rsid w:val="004F077C"/>
    <w:rsid w:val="004F09BD"/>
    <w:rsid w:val="004F0A62"/>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427"/>
    <w:rsid w:val="004F3496"/>
    <w:rsid w:val="004F34D4"/>
    <w:rsid w:val="004F37B2"/>
    <w:rsid w:val="004F3ACE"/>
    <w:rsid w:val="004F3BBB"/>
    <w:rsid w:val="004F468B"/>
    <w:rsid w:val="004F4702"/>
    <w:rsid w:val="004F49A4"/>
    <w:rsid w:val="004F5418"/>
    <w:rsid w:val="004F58BC"/>
    <w:rsid w:val="004F5A23"/>
    <w:rsid w:val="004F5FCF"/>
    <w:rsid w:val="004F60A9"/>
    <w:rsid w:val="004F6211"/>
    <w:rsid w:val="004F6480"/>
    <w:rsid w:val="004F695F"/>
    <w:rsid w:val="004F6CEF"/>
    <w:rsid w:val="004F6F3D"/>
    <w:rsid w:val="004F70FA"/>
    <w:rsid w:val="004F73A5"/>
    <w:rsid w:val="004F7458"/>
    <w:rsid w:val="004F76F4"/>
    <w:rsid w:val="004F78A4"/>
    <w:rsid w:val="004F7B75"/>
    <w:rsid w:val="00500526"/>
    <w:rsid w:val="005005E1"/>
    <w:rsid w:val="00500930"/>
    <w:rsid w:val="00500BC7"/>
    <w:rsid w:val="00500D45"/>
    <w:rsid w:val="00500FFD"/>
    <w:rsid w:val="00501087"/>
    <w:rsid w:val="005011D4"/>
    <w:rsid w:val="00501285"/>
    <w:rsid w:val="0050138E"/>
    <w:rsid w:val="00501487"/>
    <w:rsid w:val="00501A18"/>
    <w:rsid w:val="00501A7C"/>
    <w:rsid w:val="00501B7F"/>
    <w:rsid w:val="00501B93"/>
    <w:rsid w:val="00501C43"/>
    <w:rsid w:val="0050220E"/>
    <w:rsid w:val="00502366"/>
    <w:rsid w:val="0050278C"/>
    <w:rsid w:val="00502CE9"/>
    <w:rsid w:val="00502DBB"/>
    <w:rsid w:val="00502FEE"/>
    <w:rsid w:val="00503267"/>
    <w:rsid w:val="00503992"/>
    <w:rsid w:val="00503A7B"/>
    <w:rsid w:val="00503AA5"/>
    <w:rsid w:val="00503ADC"/>
    <w:rsid w:val="00503E99"/>
    <w:rsid w:val="00503F2B"/>
    <w:rsid w:val="00504452"/>
    <w:rsid w:val="00504507"/>
    <w:rsid w:val="0050473D"/>
    <w:rsid w:val="00504A3B"/>
    <w:rsid w:val="00504BCE"/>
    <w:rsid w:val="00504CE0"/>
    <w:rsid w:val="00504E75"/>
    <w:rsid w:val="00504EC7"/>
    <w:rsid w:val="005052C4"/>
    <w:rsid w:val="00505380"/>
    <w:rsid w:val="0050539D"/>
    <w:rsid w:val="005055F0"/>
    <w:rsid w:val="005058E9"/>
    <w:rsid w:val="00505AFC"/>
    <w:rsid w:val="00505F30"/>
    <w:rsid w:val="0050601C"/>
    <w:rsid w:val="00506733"/>
    <w:rsid w:val="0050679A"/>
    <w:rsid w:val="005069AB"/>
    <w:rsid w:val="00506CEC"/>
    <w:rsid w:val="005071C2"/>
    <w:rsid w:val="00507554"/>
    <w:rsid w:val="00507790"/>
    <w:rsid w:val="00507935"/>
    <w:rsid w:val="005079D4"/>
    <w:rsid w:val="00507A08"/>
    <w:rsid w:val="00507AFA"/>
    <w:rsid w:val="00510125"/>
    <w:rsid w:val="0051034C"/>
    <w:rsid w:val="0051039A"/>
    <w:rsid w:val="005105FE"/>
    <w:rsid w:val="00510640"/>
    <w:rsid w:val="00510910"/>
    <w:rsid w:val="00510EEA"/>
    <w:rsid w:val="00510F24"/>
    <w:rsid w:val="00510F75"/>
    <w:rsid w:val="00510FA1"/>
    <w:rsid w:val="005111DF"/>
    <w:rsid w:val="00511804"/>
    <w:rsid w:val="005119F0"/>
    <w:rsid w:val="00511A0B"/>
    <w:rsid w:val="00511B1E"/>
    <w:rsid w:val="00511D46"/>
    <w:rsid w:val="00511F73"/>
    <w:rsid w:val="00511F90"/>
    <w:rsid w:val="005125DD"/>
    <w:rsid w:val="0051266C"/>
    <w:rsid w:val="00512908"/>
    <w:rsid w:val="00512973"/>
    <w:rsid w:val="00512A37"/>
    <w:rsid w:val="00512B4A"/>
    <w:rsid w:val="00512F77"/>
    <w:rsid w:val="00513045"/>
    <w:rsid w:val="00513395"/>
    <w:rsid w:val="005133EB"/>
    <w:rsid w:val="0051371E"/>
    <w:rsid w:val="005137E7"/>
    <w:rsid w:val="0051385E"/>
    <w:rsid w:val="00513A46"/>
    <w:rsid w:val="00513A69"/>
    <w:rsid w:val="00513A92"/>
    <w:rsid w:val="00513F90"/>
    <w:rsid w:val="00513FC8"/>
    <w:rsid w:val="005144AD"/>
    <w:rsid w:val="005148CD"/>
    <w:rsid w:val="00514BA5"/>
    <w:rsid w:val="00514C18"/>
    <w:rsid w:val="00514D26"/>
    <w:rsid w:val="00514D3D"/>
    <w:rsid w:val="00514EDE"/>
    <w:rsid w:val="00514EF9"/>
    <w:rsid w:val="005154F2"/>
    <w:rsid w:val="00515502"/>
    <w:rsid w:val="0051558D"/>
    <w:rsid w:val="005156CA"/>
    <w:rsid w:val="00515EC9"/>
    <w:rsid w:val="00516060"/>
    <w:rsid w:val="00516166"/>
    <w:rsid w:val="0051620C"/>
    <w:rsid w:val="00516344"/>
    <w:rsid w:val="005164B4"/>
    <w:rsid w:val="0051671D"/>
    <w:rsid w:val="00516725"/>
    <w:rsid w:val="00516808"/>
    <w:rsid w:val="00516A12"/>
    <w:rsid w:val="00516FD1"/>
    <w:rsid w:val="005174F2"/>
    <w:rsid w:val="00517AFC"/>
    <w:rsid w:val="00517B10"/>
    <w:rsid w:val="00517F20"/>
    <w:rsid w:val="00520187"/>
    <w:rsid w:val="005203B7"/>
    <w:rsid w:val="00520702"/>
    <w:rsid w:val="0052072E"/>
    <w:rsid w:val="00520CCC"/>
    <w:rsid w:val="0052125A"/>
    <w:rsid w:val="00521765"/>
    <w:rsid w:val="00521792"/>
    <w:rsid w:val="005217CA"/>
    <w:rsid w:val="005219B8"/>
    <w:rsid w:val="005219EF"/>
    <w:rsid w:val="005219F9"/>
    <w:rsid w:val="0052209A"/>
    <w:rsid w:val="005223B0"/>
    <w:rsid w:val="005223F3"/>
    <w:rsid w:val="00522A48"/>
    <w:rsid w:val="00522A4F"/>
    <w:rsid w:val="00522AE1"/>
    <w:rsid w:val="005235B8"/>
    <w:rsid w:val="00523857"/>
    <w:rsid w:val="00523A8D"/>
    <w:rsid w:val="00523B24"/>
    <w:rsid w:val="00523B56"/>
    <w:rsid w:val="00523C60"/>
    <w:rsid w:val="005242AC"/>
    <w:rsid w:val="005246F3"/>
    <w:rsid w:val="005247EB"/>
    <w:rsid w:val="00524914"/>
    <w:rsid w:val="005249E3"/>
    <w:rsid w:val="00524B1C"/>
    <w:rsid w:val="00524C6F"/>
    <w:rsid w:val="00525351"/>
    <w:rsid w:val="00525418"/>
    <w:rsid w:val="00525C32"/>
    <w:rsid w:val="00526115"/>
    <w:rsid w:val="00526185"/>
    <w:rsid w:val="005261ED"/>
    <w:rsid w:val="005266D0"/>
    <w:rsid w:val="005266F6"/>
    <w:rsid w:val="00526791"/>
    <w:rsid w:val="00526805"/>
    <w:rsid w:val="005268C7"/>
    <w:rsid w:val="00526910"/>
    <w:rsid w:val="00526F4E"/>
    <w:rsid w:val="00527027"/>
    <w:rsid w:val="00527328"/>
    <w:rsid w:val="0052736D"/>
    <w:rsid w:val="0052757D"/>
    <w:rsid w:val="0052767E"/>
    <w:rsid w:val="0052769E"/>
    <w:rsid w:val="0052770D"/>
    <w:rsid w:val="00527855"/>
    <w:rsid w:val="0052794E"/>
    <w:rsid w:val="00527D2E"/>
    <w:rsid w:val="005301CC"/>
    <w:rsid w:val="005304D0"/>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7F9"/>
    <w:rsid w:val="0053285B"/>
    <w:rsid w:val="0053298A"/>
    <w:rsid w:val="00532A51"/>
    <w:rsid w:val="00532E11"/>
    <w:rsid w:val="00532F2B"/>
    <w:rsid w:val="005330EE"/>
    <w:rsid w:val="005335AD"/>
    <w:rsid w:val="005335CC"/>
    <w:rsid w:val="005336F8"/>
    <w:rsid w:val="005338A5"/>
    <w:rsid w:val="00533ACD"/>
    <w:rsid w:val="00533CC5"/>
    <w:rsid w:val="005341F0"/>
    <w:rsid w:val="00534218"/>
    <w:rsid w:val="005343D2"/>
    <w:rsid w:val="0053445A"/>
    <w:rsid w:val="005349B7"/>
    <w:rsid w:val="005349ED"/>
    <w:rsid w:val="00534DEF"/>
    <w:rsid w:val="005352F9"/>
    <w:rsid w:val="0053568D"/>
    <w:rsid w:val="005356DB"/>
    <w:rsid w:val="005357B3"/>
    <w:rsid w:val="00535F9E"/>
    <w:rsid w:val="005365BE"/>
    <w:rsid w:val="0053675E"/>
    <w:rsid w:val="00536C24"/>
    <w:rsid w:val="00536C5F"/>
    <w:rsid w:val="005370AF"/>
    <w:rsid w:val="0053784D"/>
    <w:rsid w:val="0053785E"/>
    <w:rsid w:val="0054031F"/>
    <w:rsid w:val="0054059A"/>
    <w:rsid w:val="00540862"/>
    <w:rsid w:val="0054098C"/>
    <w:rsid w:val="00540B90"/>
    <w:rsid w:val="00540BC7"/>
    <w:rsid w:val="00540E71"/>
    <w:rsid w:val="00541256"/>
    <w:rsid w:val="005414AE"/>
    <w:rsid w:val="00541702"/>
    <w:rsid w:val="00541924"/>
    <w:rsid w:val="00541935"/>
    <w:rsid w:val="00541F95"/>
    <w:rsid w:val="00541FE2"/>
    <w:rsid w:val="005423A1"/>
    <w:rsid w:val="005427DF"/>
    <w:rsid w:val="00542BD2"/>
    <w:rsid w:val="0054336D"/>
    <w:rsid w:val="0054350D"/>
    <w:rsid w:val="0054382F"/>
    <w:rsid w:val="00543989"/>
    <w:rsid w:val="00543B78"/>
    <w:rsid w:val="00543BCA"/>
    <w:rsid w:val="00543D7B"/>
    <w:rsid w:val="00543ED8"/>
    <w:rsid w:val="00543FDC"/>
    <w:rsid w:val="0054438E"/>
    <w:rsid w:val="0054457A"/>
    <w:rsid w:val="00544A7F"/>
    <w:rsid w:val="00544F5F"/>
    <w:rsid w:val="00545018"/>
    <w:rsid w:val="0054535F"/>
    <w:rsid w:val="00545361"/>
    <w:rsid w:val="005455EB"/>
    <w:rsid w:val="00545A5E"/>
    <w:rsid w:val="005460A5"/>
    <w:rsid w:val="0054620D"/>
    <w:rsid w:val="00546754"/>
    <w:rsid w:val="0054694F"/>
    <w:rsid w:val="00546C44"/>
    <w:rsid w:val="00546E37"/>
    <w:rsid w:val="00546EE6"/>
    <w:rsid w:val="00546EF4"/>
    <w:rsid w:val="00546F24"/>
    <w:rsid w:val="005476C3"/>
    <w:rsid w:val="0054785C"/>
    <w:rsid w:val="0054788F"/>
    <w:rsid w:val="00547999"/>
    <w:rsid w:val="00547B37"/>
    <w:rsid w:val="00547CCF"/>
    <w:rsid w:val="0055009E"/>
    <w:rsid w:val="005501A1"/>
    <w:rsid w:val="00550622"/>
    <w:rsid w:val="00550DD0"/>
    <w:rsid w:val="00550E8E"/>
    <w:rsid w:val="0055127D"/>
    <w:rsid w:val="005512CF"/>
    <w:rsid w:val="00551346"/>
    <w:rsid w:val="005516BA"/>
    <w:rsid w:val="00551968"/>
    <w:rsid w:val="00551C3E"/>
    <w:rsid w:val="00551DDD"/>
    <w:rsid w:val="00552603"/>
    <w:rsid w:val="00552AD3"/>
    <w:rsid w:val="00552D60"/>
    <w:rsid w:val="00552DD0"/>
    <w:rsid w:val="005530CA"/>
    <w:rsid w:val="005533AD"/>
    <w:rsid w:val="005534F2"/>
    <w:rsid w:val="005537F8"/>
    <w:rsid w:val="005538AB"/>
    <w:rsid w:val="00553910"/>
    <w:rsid w:val="00553B83"/>
    <w:rsid w:val="005540ED"/>
    <w:rsid w:val="00554378"/>
    <w:rsid w:val="005546C7"/>
    <w:rsid w:val="005546E3"/>
    <w:rsid w:val="0055497C"/>
    <w:rsid w:val="00554A12"/>
    <w:rsid w:val="00554A78"/>
    <w:rsid w:val="00554AA6"/>
    <w:rsid w:val="00554CA7"/>
    <w:rsid w:val="00554D76"/>
    <w:rsid w:val="00554DAD"/>
    <w:rsid w:val="00554E1A"/>
    <w:rsid w:val="00555282"/>
    <w:rsid w:val="005554DB"/>
    <w:rsid w:val="0055564D"/>
    <w:rsid w:val="0055573E"/>
    <w:rsid w:val="00555AD1"/>
    <w:rsid w:val="00555B51"/>
    <w:rsid w:val="005564F8"/>
    <w:rsid w:val="0055697C"/>
    <w:rsid w:val="00556A51"/>
    <w:rsid w:val="00556C69"/>
    <w:rsid w:val="00556C9F"/>
    <w:rsid w:val="005571AA"/>
    <w:rsid w:val="005579DF"/>
    <w:rsid w:val="00557A11"/>
    <w:rsid w:val="00557AAA"/>
    <w:rsid w:val="00557C6C"/>
    <w:rsid w:val="00557CC7"/>
    <w:rsid w:val="00557CD4"/>
    <w:rsid w:val="00557EAB"/>
    <w:rsid w:val="00557FAC"/>
    <w:rsid w:val="0056020E"/>
    <w:rsid w:val="005602B5"/>
    <w:rsid w:val="00560322"/>
    <w:rsid w:val="005609CE"/>
    <w:rsid w:val="00560C6C"/>
    <w:rsid w:val="00560EE2"/>
    <w:rsid w:val="00561083"/>
    <w:rsid w:val="00561251"/>
    <w:rsid w:val="0056192E"/>
    <w:rsid w:val="00561EA7"/>
    <w:rsid w:val="00562861"/>
    <w:rsid w:val="00562BBA"/>
    <w:rsid w:val="00562C58"/>
    <w:rsid w:val="00562C89"/>
    <w:rsid w:val="00562EC8"/>
    <w:rsid w:val="00562F38"/>
    <w:rsid w:val="00563255"/>
    <w:rsid w:val="005634D7"/>
    <w:rsid w:val="0056396F"/>
    <w:rsid w:val="00563B63"/>
    <w:rsid w:val="00563C41"/>
    <w:rsid w:val="00563D66"/>
    <w:rsid w:val="00563DA2"/>
    <w:rsid w:val="0056406D"/>
    <w:rsid w:val="005640CD"/>
    <w:rsid w:val="00564183"/>
    <w:rsid w:val="00564275"/>
    <w:rsid w:val="005643AD"/>
    <w:rsid w:val="0056440B"/>
    <w:rsid w:val="00564592"/>
    <w:rsid w:val="005646BF"/>
    <w:rsid w:val="00564CA4"/>
    <w:rsid w:val="00564F2A"/>
    <w:rsid w:val="00564FB4"/>
    <w:rsid w:val="00565041"/>
    <w:rsid w:val="00565091"/>
    <w:rsid w:val="005650FA"/>
    <w:rsid w:val="0056531A"/>
    <w:rsid w:val="005653C8"/>
    <w:rsid w:val="0056550A"/>
    <w:rsid w:val="005655D3"/>
    <w:rsid w:val="005656D1"/>
    <w:rsid w:val="00565719"/>
    <w:rsid w:val="00565A71"/>
    <w:rsid w:val="00565D07"/>
    <w:rsid w:val="00565F5D"/>
    <w:rsid w:val="005660FA"/>
    <w:rsid w:val="005662E4"/>
    <w:rsid w:val="0056630E"/>
    <w:rsid w:val="00566333"/>
    <w:rsid w:val="0056684B"/>
    <w:rsid w:val="00566C2C"/>
    <w:rsid w:val="00566DC2"/>
    <w:rsid w:val="00566E95"/>
    <w:rsid w:val="00566EB8"/>
    <w:rsid w:val="00566F43"/>
    <w:rsid w:val="005676AA"/>
    <w:rsid w:val="005676C4"/>
    <w:rsid w:val="0056771B"/>
    <w:rsid w:val="00567800"/>
    <w:rsid w:val="00567895"/>
    <w:rsid w:val="0056791E"/>
    <w:rsid w:val="00567EB3"/>
    <w:rsid w:val="00570186"/>
    <w:rsid w:val="00570407"/>
    <w:rsid w:val="0057052B"/>
    <w:rsid w:val="005709A6"/>
    <w:rsid w:val="00570A6A"/>
    <w:rsid w:val="00570F8D"/>
    <w:rsid w:val="00571BC0"/>
    <w:rsid w:val="005721F9"/>
    <w:rsid w:val="00572376"/>
    <w:rsid w:val="005723B2"/>
    <w:rsid w:val="0057262B"/>
    <w:rsid w:val="005726FE"/>
    <w:rsid w:val="00572750"/>
    <w:rsid w:val="00572763"/>
    <w:rsid w:val="00572797"/>
    <w:rsid w:val="005728A9"/>
    <w:rsid w:val="0057293D"/>
    <w:rsid w:val="00572A0E"/>
    <w:rsid w:val="00572B6C"/>
    <w:rsid w:val="00572D3D"/>
    <w:rsid w:val="0057300C"/>
    <w:rsid w:val="00573169"/>
    <w:rsid w:val="0057371D"/>
    <w:rsid w:val="005739D9"/>
    <w:rsid w:val="00573C46"/>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B8"/>
    <w:rsid w:val="00575C14"/>
    <w:rsid w:val="005764B9"/>
    <w:rsid w:val="00576537"/>
    <w:rsid w:val="00576843"/>
    <w:rsid w:val="00576A31"/>
    <w:rsid w:val="00576B03"/>
    <w:rsid w:val="0057703D"/>
    <w:rsid w:val="00577354"/>
    <w:rsid w:val="0057772C"/>
    <w:rsid w:val="00577754"/>
    <w:rsid w:val="0057793D"/>
    <w:rsid w:val="00577CD2"/>
    <w:rsid w:val="00577D74"/>
    <w:rsid w:val="00580050"/>
    <w:rsid w:val="00580531"/>
    <w:rsid w:val="00580721"/>
    <w:rsid w:val="00580923"/>
    <w:rsid w:val="00580C79"/>
    <w:rsid w:val="0058102B"/>
    <w:rsid w:val="00581D35"/>
    <w:rsid w:val="00582048"/>
    <w:rsid w:val="0058210F"/>
    <w:rsid w:val="00582178"/>
    <w:rsid w:val="00582580"/>
    <w:rsid w:val="005827D8"/>
    <w:rsid w:val="00582C0B"/>
    <w:rsid w:val="00582DB9"/>
    <w:rsid w:val="005831DD"/>
    <w:rsid w:val="005831E6"/>
    <w:rsid w:val="005838CD"/>
    <w:rsid w:val="00583BF4"/>
    <w:rsid w:val="00583D3F"/>
    <w:rsid w:val="00583EDC"/>
    <w:rsid w:val="00583FB7"/>
    <w:rsid w:val="00584199"/>
    <w:rsid w:val="005842D4"/>
    <w:rsid w:val="0058472F"/>
    <w:rsid w:val="005847A6"/>
    <w:rsid w:val="00584912"/>
    <w:rsid w:val="00584942"/>
    <w:rsid w:val="00584A14"/>
    <w:rsid w:val="0058548F"/>
    <w:rsid w:val="00585533"/>
    <w:rsid w:val="00585562"/>
    <w:rsid w:val="005857DA"/>
    <w:rsid w:val="00585CD0"/>
    <w:rsid w:val="00585FC9"/>
    <w:rsid w:val="00586120"/>
    <w:rsid w:val="005865D8"/>
    <w:rsid w:val="00586A1F"/>
    <w:rsid w:val="00586B38"/>
    <w:rsid w:val="00586C05"/>
    <w:rsid w:val="00586D3A"/>
    <w:rsid w:val="00586DD7"/>
    <w:rsid w:val="00586F21"/>
    <w:rsid w:val="00586F30"/>
    <w:rsid w:val="005874AB"/>
    <w:rsid w:val="00587702"/>
    <w:rsid w:val="00587863"/>
    <w:rsid w:val="005878A0"/>
    <w:rsid w:val="00587B39"/>
    <w:rsid w:val="00587C4A"/>
    <w:rsid w:val="00587F47"/>
    <w:rsid w:val="005903A3"/>
    <w:rsid w:val="0059057F"/>
    <w:rsid w:val="005909FE"/>
    <w:rsid w:val="00590F62"/>
    <w:rsid w:val="0059108F"/>
    <w:rsid w:val="005913C7"/>
    <w:rsid w:val="00591BA7"/>
    <w:rsid w:val="00591E77"/>
    <w:rsid w:val="00591F13"/>
    <w:rsid w:val="00592203"/>
    <w:rsid w:val="005929B0"/>
    <w:rsid w:val="00592A88"/>
    <w:rsid w:val="005933EA"/>
    <w:rsid w:val="0059365F"/>
    <w:rsid w:val="005936AE"/>
    <w:rsid w:val="005936AF"/>
    <w:rsid w:val="0059391A"/>
    <w:rsid w:val="00593A1D"/>
    <w:rsid w:val="00593B5D"/>
    <w:rsid w:val="005942E5"/>
    <w:rsid w:val="00594348"/>
    <w:rsid w:val="00594494"/>
    <w:rsid w:val="005944B5"/>
    <w:rsid w:val="005944E5"/>
    <w:rsid w:val="00594721"/>
    <w:rsid w:val="00594849"/>
    <w:rsid w:val="005948DB"/>
    <w:rsid w:val="00595013"/>
    <w:rsid w:val="0059524E"/>
    <w:rsid w:val="0059539C"/>
    <w:rsid w:val="00595F5C"/>
    <w:rsid w:val="0059611C"/>
    <w:rsid w:val="00596179"/>
    <w:rsid w:val="005963A2"/>
    <w:rsid w:val="005965E5"/>
    <w:rsid w:val="005965EE"/>
    <w:rsid w:val="005968C4"/>
    <w:rsid w:val="0059756F"/>
    <w:rsid w:val="0059760D"/>
    <w:rsid w:val="00597DC6"/>
    <w:rsid w:val="005A01BA"/>
    <w:rsid w:val="005A028E"/>
    <w:rsid w:val="005A041B"/>
    <w:rsid w:val="005A06E7"/>
    <w:rsid w:val="005A071D"/>
    <w:rsid w:val="005A08A9"/>
    <w:rsid w:val="005A09F4"/>
    <w:rsid w:val="005A0A24"/>
    <w:rsid w:val="005A0CA6"/>
    <w:rsid w:val="005A0F60"/>
    <w:rsid w:val="005A129B"/>
    <w:rsid w:val="005A156E"/>
    <w:rsid w:val="005A1B1E"/>
    <w:rsid w:val="005A1C26"/>
    <w:rsid w:val="005A1C29"/>
    <w:rsid w:val="005A205D"/>
    <w:rsid w:val="005A21ED"/>
    <w:rsid w:val="005A22FB"/>
    <w:rsid w:val="005A2452"/>
    <w:rsid w:val="005A2862"/>
    <w:rsid w:val="005A28AA"/>
    <w:rsid w:val="005A2A19"/>
    <w:rsid w:val="005A2C0F"/>
    <w:rsid w:val="005A30A5"/>
    <w:rsid w:val="005A328B"/>
    <w:rsid w:val="005A377F"/>
    <w:rsid w:val="005A3D52"/>
    <w:rsid w:val="005A3E77"/>
    <w:rsid w:val="005A3F5C"/>
    <w:rsid w:val="005A411A"/>
    <w:rsid w:val="005A4292"/>
    <w:rsid w:val="005A4369"/>
    <w:rsid w:val="005A4382"/>
    <w:rsid w:val="005A4654"/>
    <w:rsid w:val="005A4946"/>
    <w:rsid w:val="005A4A95"/>
    <w:rsid w:val="005A4ADF"/>
    <w:rsid w:val="005A4EB5"/>
    <w:rsid w:val="005A51A2"/>
    <w:rsid w:val="005A524B"/>
    <w:rsid w:val="005A5253"/>
    <w:rsid w:val="005A5317"/>
    <w:rsid w:val="005A5355"/>
    <w:rsid w:val="005A5548"/>
    <w:rsid w:val="005A5B67"/>
    <w:rsid w:val="005A5C14"/>
    <w:rsid w:val="005A5C71"/>
    <w:rsid w:val="005A6052"/>
    <w:rsid w:val="005A6308"/>
    <w:rsid w:val="005A64B5"/>
    <w:rsid w:val="005A64BB"/>
    <w:rsid w:val="005A65E3"/>
    <w:rsid w:val="005A6818"/>
    <w:rsid w:val="005A68DC"/>
    <w:rsid w:val="005A6AD6"/>
    <w:rsid w:val="005A6F63"/>
    <w:rsid w:val="005A773F"/>
    <w:rsid w:val="005A7763"/>
    <w:rsid w:val="005A77C6"/>
    <w:rsid w:val="005A7C66"/>
    <w:rsid w:val="005B006E"/>
    <w:rsid w:val="005B01C2"/>
    <w:rsid w:val="005B01CA"/>
    <w:rsid w:val="005B0621"/>
    <w:rsid w:val="005B06E4"/>
    <w:rsid w:val="005B0FBE"/>
    <w:rsid w:val="005B1072"/>
    <w:rsid w:val="005B126C"/>
    <w:rsid w:val="005B13FD"/>
    <w:rsid w:val="005B142A"/>
    <w:rsid w:val="005B171E"/>
    <w:rsid w:val="005B17C9"/>
    <w:rsid w:val="005B17D5"/>
    <w:rsid w:val="005B1895"/>
    <w:rsid w:val="005B1B5F"/>
    <w:rsid w:val="005B1F25"/>
    <w:rsid w:val="005B2045"/>
    <w:rsid w:val="005B20BA"/>
    <w:rsid w:val="005B218D"/>
    <w:rsid w:val="005B21D8"/>
    <w:rsid w:val="005B2279"/>
    <w:rsid w:val="005B286F"/>
    <w:rsid w:val="005B288E"/>
    <w:rsid w:val="005B2C00"/>
    <w:rsid w:val="005B2D7E"/>
    <w:rsid w:val="005B2E1C"/>
    <w:rsid w:val="005B2F73"/>
    <w:rsid w:val="005B30E8"/>
    <w:rsid w:val="005B337A"/>
    <w:rsid w:val="005B358F"/>
    <w:rsid w:val="005B35E1"/>
    <w:rsid w:val="005B35F9"/>
    <w:rsid w:val="005B38B4"/>
    <w:rsid w:val="005B39FD"/>
    <w:rsid w:val="005B3C4F"/>
    <w:rsid w:val="005B3DC5"/>
    <w:rsid w:val="005B3F3A"/>
    <w:rsid w:val="005B4745"/>
    <w:rsid w:val="005B4A29"/>
    <w:rsid w:val="005B4E45"/>
    <w:rsid w:val="005B5098"/>
    <w:rsid w:val="005B5549"/>
    <w:rsid w:val="005B57AD"/>
    <w:rsid w:val="005B642D"/>
    <w:rsid w:val="005B6503"/>
    <w:rsid w:val="005B662F"/>
    <w:rsid w:val="005B664B"/>
    <w:rsid w:val="005B6682"/>
    <w:rsid w:val="005B6806"/>
    <w:rsid w:val="005B6AAA"/>
    <w:rsid w:val="005B7015"/>
    <w:rsid w:val="005B7136"/>
    <w:rsid w:val="005B71B3"/>
    <w:rsid w:val="005B728B"/>
    <w:rsid w:val="005B7590"/>
    <w:rsid w:val="005B7684"/>
    <w:rsid w:val="005B784C"/>
    <w:rsid w:val="005B79EA"/>
    <w:rsid w:val="005B7A85"/>
    <w:rsid w:val="005B7D68"/>
    <w:rsid w:val="005B7ED5"/>
    <w:rsid w:val="005C0004"/>
    <w:rsid w:val="005C06E9"/>
    <w:rsid w:val="005C0A0B"/>
    <w:rsid w:val="005C0A5E"/>
    <w:rsid w:val="005C0B1C"/>
    <w:rsid w:val="005C0D0E"/>
    <w:rsid w:val="005C141C"/>
    <w:rsid w:val="005C16B1"/>
    <w:rsid w:val="005C16F4"/>
    <w:rsid w:val="005C19AB"/>
    <w:rsid w:val="005C25B7"/>
    <w:rsid w:val="005C26A4"/>
    <w:rsid w:val="005C2ACF"/>
    <w:rsid w:val="005C2B53"/>
    <w:rsid w:val="005C3149"/>
    <w:rsid w:val="005C32B1"/>
    <w:rsid w:val="005C39C1"/>
    <w:rsid w:val="005C3B82"/>
    <w:rsid w:val="005C3C9C"/>
    <w:rsid w:val="005C3D65"/>
    <w:rsid w:val="005C3EA0"/>
    <w:rsid w:val="005C3FC2"/>
    <w:rsid w:val="005C489C"/>
    <w:rsid w:val="005C4944"/>
    <w:rsid w:val="005C4A01"/>
    <w:rsid w:val="005C4C7A"/>
    <w:rsid w:val="005C4EA2"/>
    <w:rsid w:val="005C51AF"/>
    <w:rsid w:val="005C534D"/>
    <w:rsid w:val="005C53D4"/>
    <w:rsid w:val="005C578F"/>
    <w:rsid w:val="005C5C6D"/>
    <w:rsid w:val="005C5E2A"/>
    <w:rsid w:val="005C633E"/>
    <w:rsid w:val="005C6545"/>
    <w:rsid w:val="005C668E"/>
    <w:rsid w:val="005C693F"/>
    <w:rsid w:val="005C6AC4"/>
    <w:rsid w:val="005C6C06"/>
    <w:rsid w:val="005C7656"/>
    <w:rsid w:val="005C7861"/>
    <w:rsid w:val="005C7B3B"/>
    <w:rsid w:val="005D0470"/>
    <w:rsid w:val="005D048E"/>
    <w:rsid w:val="005D0520"/>
    <w:rsid w:val="005D0A7B"/>
    <w:rsid w:val="005D1122"/>
    <w:rsid w:val="005D12AD"/>
    <w:rsid w:val="005D1530"/>
    <w:rsid w:val="005D168A"/>
    <w:rsid w:val="005D1877"/>
    <w:rsid w:val="005D18D1"/>
    <w:rsid w:val="005D1B6B"/>
    <w:rsid w:val="005D1D1B"/>
    <w:rsid w:val="005D1DAC"/>
    <w:rsid w:val="005D1E4B"/>
    <w:rsid w:val="005D21A8"/>
    <w:rsid w:val="005D2242"/>
    <w:rsid w:val="005D22A7"/>
    <w:rsid w:val="005D23EA"/>
    <w:rsid w:val="005D2414"/>
    <w:rsid w:val="005D2435"/>
    <w:rsid w:val="005D2784"/>
    <w:rsid w:val="005D2A2D"/>
    <w:rsid w:val="005D2B41"/>
    <w:rsid w:val="005D2BE6"/>
    <w:rsid w:val="005D2E26"/>
    <w:rsid w:val="005D2E91"/>
    <w:rsid w:val="005D2FD7"/>
    <w:rsid w:val="005D30ED"/>
    <w:rsid w:val="005D3109"/>
    <w:rsid w:val="005D31C9"/>
    <w:rsid w:val="005D32E7"/>
    <w:rsid w:val="005D354E"/>
    <w:rsid w:val="005D35B3"/>
    <w:rsid w:val="005D38FB"/>
    <w:rsid w:val="005D3E5C"/>
    <w:rsid w:val="005D40A4"/>
    <w:rsid w:val="005D433A"/>
    <w:rsid w:val="005D433B"/>
    <w:rsid w:val="005D44E4"/>
    <w:rsid w:val="005D4898"/>
    <w:rsid w:val="005D4EDC"/>
    <w:rsid w:val="005D4FB8"/>
    <w:rsid w:val="005D531D"/>
    <w:rsid w:val="005D549A"/>
    <w:rsid w:val="005D54B5"/>
    <w:rsid w:val="005D5716"/>
    <w:rsid w:val="005D577A"/>
    <w:rsid w:val="005D5932"/>
    <w:rsid w:val="005D59A4"/>
    <w:rsid w:val="005D59CC"/>
    <w:rsid w:val="005D5A2E"/>
    <w:rsid w:val="005D5DA5"/>
    <w:rsid w:val="005D5EF7"/>
    <w:rsid w:val="005D5EFF"/>
    <w:rsid w:val="005D6385"/>
    <w:rsid w:val="005D65DE"/>
    <w:rsid w:val="005D6F2D"/>
    <w:rsid w:val="005D7324"/>
    <w:rsid w:val="005D7376"/>
    <w:rsid w:val="005D743C"/>
    <w:rsid w:val="005D7473"/>
    <w:rsid w:val="005D7790"/>
    <w:rsid w:val="005D7F8A"/>
    <w:rsid w:val="005E0079"/>
    <w:rsid w:val="005E063C"/>
    <w:rsid w:val="005E066C"/>
    <w:rsid w:val="005E10DC"/>
    <w:rsid w:val="005E133A"/>
    <w:rsid w:val="005E1481"/>
    <w:rsid w:val="005E1994"/>
    <w:rsid w:val="005E1B14"/>
    <w:rsid w:val="005E2238"/>
    <w:rsid w:val="005E22DF"/>
    <w:rsid w:val="005E22F9"/>
    <w:rsid w:val="005E25DF"/>
    <w:rsid w:val="005E2866"/>
    <w:rsid w:val="005E28B8"/>
    <w:rsid w:val="005E293A"/>
    <w:rsid w:val="005E293D"/>
    <w:rsid w:val="005E2ABC"/>
    <w:rsid w:val="005E2C44"/>
    <w:rsid w:val="005E2EA5"/>
    <w:rsid w:val="005E300B"/>
    <w:rsid w:val="005E3280"/>
    <w:rsid w:val="005E3394"/>
    <w:rsid w:val="005E3551"/>
    <w:rsid w:val="005E3BA4"/>
    <w:rsid w:val="005E3E23"/>
    <w:rsid w:val="005E40B8"/>
    <w:rsid w:val="005E4717"/>
    <w:rsid w:val="005E4BDE"/>
    <w:rsid w:val="005E4DB3"/>
    <w:rsid w:val="005E4EE8"/>
    <w:rsid w:val="005E4F4C"/>
    <w:rsid w:val="005E51C7"/>
    <w:rsid w:val="005E51F5"/>
    <w:rsid w:val="005E5508"/>
    <w:rsid w:val="005E5785"/>
    <w:rsid w:val="005E59A8"/>
    <w:rsid w:val="005E5A4E"/>
    <w:rsid w:val="005E61B7"/>
    <w:rsid w:val="005E6204"/>
    <w:rsid w:val="005E64D8"/>
    <w:rsid w:val="005E6CC6"/>
    <w:rsid w:val="005E6E95"/>
    <w:rsid w:val="005E6F87"/>
    <w:rsid w:val="005E71C7"/>
    <w:rsid w:val="005E7913"/>
    <w:rsid w:val="005E798E"/>
    <w:rsid w:val="005E7B02"/>
    <w:rsid w:val="005E7B1C"/>
    <w:rsid w:val="005F0932"/>
    <w:rsid w:val="005F0A69"/>
    <w:rsid w:val="005F0C14"/>
    <w:rsid w:val="005F0DB8"/>
    <w:rsid w:val="005F0E08"/>
    <w:rsid w:val="005F10BD"/>
    <w:rsid w:val="005F1331"/>
    <w:rsid w:val="005F1908"/>
    <w:rsid w:val="005F19CD"/>
    <w:rsid w:val="005F2084"/>
    <w:rsid w:val="005F2256"/>
    <w:rsid w:val="005F24D8"/>
    <w:rsid w:val="005F2661"/>
    <w:rsid w:val="005F2A91"/>
    <w:rsid w:val="005F2CF1"/>
    <w:rsid w:val="005F30C8"/>
    <w:rsid w:val="005F3288"/>
    <w:rsid w:val="005F3368"/>
    <w:rsid w:val="005F35EC"/>
    <w:rsid w:val="005F39C4"/>
    <w:rsid w:val="005F3EAF"/>
    <w:rsid w:val="005F4050"/>
    <w:rsid w:val="005F42CF"/>
    <w:rsid w:val="005F4609"/>
    <w:rsid w:val="005F48CD"/>
    <w:rsid w:val="005F4C97"/>
    <w:rsid w:val="005F4D87"/>
    <w:rsid w:val="005F4EC5"/>
    <w:rsid w:val="005F5783"/>
    <w:rsid w:val="005F5853"/>
    <w:rsid w:val="005F5BA4"/>
    <w:rsid w:val="005F5CDF"/>
    <w:rsid w:val="005F5DA7"/>
    <w:rsid w:val="005F5E74"/>
    <w:rsid w:val="005F5E7A"/>
    <w:rsid w:val="005F5E80"/>
    <w:rsid w:val="005F64E7"/>
    <w:rsid w:val="005F6D23"/>
    <w:rsid w:val="005F6DD5"/>
    <w:rsid w:val="005F7017"/>
    <w:rsid w:val="005F7157"/>
    <w:rsid w:val="005F7173"/>
    <w:rsid w:val="005F74AA"/>
    <w:rsid w:val="005F751F"/>
    <w:rsid w:val="005F755C"/>
    <w:rsid w:val="005F7679"/>
    <w:rsid w:val="005F7D09"/>
    <w:rsid w:val="005F7F35"/>
    <w:rsid w:val="005F7FF6"/>
    <w:rsid w:val="006001BA"/>
    <w:rsid w:val="0060047C"/>
    <w:rsid w:val="00600853"/>
    <w:rsid w:val="0060090A"/>
    <w:rsid w:val="006009D9"/>
    <w:rsid w:val="00600B36"/>
    <w:rsid w:val="00600BB7"/>
    <w:rsid w:val="00600C1B"/>
    <w:rsid w:val="00600DD4"/>
    <w:rsid w:val="00600E5D"/>
    <w:rsid w:val="00600FCB"/>
    <w:rsid w:val="0060109B"/>
    <w:rsid w:val="00601149"/>
    <w:rsid w:val="006012B9"/>
    <w:rsid w:val="00601484"/>
    <w:rsid w:val="00601566"/>
    <w:rsid w:val="006019E8"/>
    <w:rsid w:val="00601CA4"/>
    <w:rsid w:val="00602547"/>
    <w:rsid w:val="0060254C"/>
    <w:rsid w:val="0060298D"/>
    <w:rsid w:val="00602F7D"/>
    <w:rsid w:val="006031A8"/>
    <w:rsid w:val="0060323E"/>
    <w:rsid w:val="006032A6"/>
    <w:rsid w:val="00603F18"/>
    <w:rsid w:val="006044F0"/>
    <w:rsid w:val="00604A10"/>
    <w:rsid w:val="00604FA4"/>
    <w:rsid w:val="006050F1"/>
    <w:rsid w:val="006057FB"/>
    <w:rsid w:val="00605FEB"/>
    <w:rsid w:val="00606692"/>
    <w:rsid w:val="006068D7"/>
    <w:rsid w:val="00606926"/>
    <w:rsid w:val="00606F7E"/>
    <w:rsid w:val="00607113"/>
    <w:rsid w:val="006073D1"/>
    <w:rsid w:val="0060743C"/>
    <w:rsid w:val="006075AB"/>
    <w:rsid w:val="006078D4"/>
    <w:rsid w:val="006079D9"/>
    <w:rsid w:val="006079DE"/>
    <w:rsid w:val="00607E8B"/>
    <w:rsid w:val="00607F6B"/>
    <w:rsid w:val="0061060A"/>
    <w:rsid w:val="006106B8"/>
    <w:rsid w:val="00610758"/>
    <w:rsid w:val="0061083C"/>
    <w:rsid w:val="00610C93"/>
    <w:rsid w:val="00610DAC"/>
    <w:rsid w:val="00611060"/>
    <w:rsid w:val="0061138D"/>
    <w:rsid w:val="00611C13"/>
    <w:rsid w:val="00611C5A"/>
    <w:rsid w:val="00611CF8"/>
    <w:rsid w:val="00611D7A"/>
    <w:rsid w:val="0061241B"/>
    <w:rsid w:val="0061252A"/>
    <w:rsid w:val="00612582"/>
    <w:rsid w:val="00612980"/>
    <w:rsid w:val="00612A6A"/>
    <w:rsid w:val="00612BE8"/>
    <w:rsid w:val="00612EF4"/>
    <w:rsid w:val="00612EFC"/>
    <w:rsid w:val="00613067"/>
    <w:rsid w:val="00613399"/>
    <w:rsid w:val="00613C69"/>
    <w:rsid w:val="00613CBC"/>
    <w:rsid w:val="006140C5"/>
    <w:rsid w:val="006142CF"/>
    <w:rsid w:val="006143A0"/>
    <w:rsid w:val="0061443B"/>
    <w:rsid w:val="006145E9"/>
    <w:rsid w:val="006147B4"/>
    <w:rsid w:val="006148AC"/>
    <w:rsid w:val="00614991"/>
    <w:rsid w:val="00614A91"/>
    <w:rsid w:val="00614D61"/>
    <w:rsid w:val="00615149"/>
    <w:rsid w:val="006152ED"/>
    <w:rsid w:val="00615302"/>
    <w:rsid w:val="00615BE3"/>
    <w:rsid w:val="00615C80"/>
    <w:rsid w:val="00615EEE"/>
    <w:rsid w:val="006161BC"/>
    <w:rsid w:val="0061625D"/>
    <w:rsid w:val="0061630F"/>
    <w:rsid w:val="00616328"/>
    <w:rsid w:val="006163A3"/>
    <w:rsid w:val="006165FC"/>
    <w:rsid w:val="00616663"/>
    <w:rsid w:val="0061682D"/>
    <w:rsid w:val="00616941"/>
    <w:rsid w:val="00616EF5"/>
    <w:rsid w:val="00617498"/>
    <w:rsid w:val="00617CA1"/>
    <w:rsid w:val="0062043B"/>
    <w:rsid w:val="00620471"/>
    <w:rsid w:val="00620699"/>
    <w:rsid w:val="006206DC"/>
    <w:rsid w:val="00620B0F"/>
    <w:rsid w:val="006211D6"/>
    <w:rsid w:val="0062136B"/>
    <w:rsid w:val="0062148F"/>
    <w:rsid w:val="006214EE"/>
    <w:rsid w:val="00621555"/>
    <w:rsid w:val="00621CB1"/>
    <w:rsid w:val="00621D26"/>
    <w:rsid w:val="00621F63"/>
    <w:rsid w:val="00622298"/>
    <w:rsid w:val="006222A9"/>
    <w:rsid w:val="0062234B"/>
    <w:rsid w:val="00622530"/>
    <w:rsid w:val="0062256D"/>
    <w:rsid w:val="006227B6"/>
    <w:rsid w:val="00622936"/>
    <w:rsid w:val="00622AB8"/>
    <w:rsid w:val="00622F27"/>
    <w:rsid w:val="00622FB7"/>
    <w:rsid w:val="0062328C"/>
    <w:rsid w:val="0062363D"/>
    <w:rsid w:val="00623C58"/>
    <w:rsid w:val="00623CD1"/>
    <w:rsid w:val="00623EA0"/>
    <w:rsid w:val="00623F6A"/>
    <w:rsid w:val="00623FA7"/>
    <w:rsid w:val="0062447B"/>
    <w:rsid w:val="006248AB"/>
    <w:rsid w:val="00624BF7"/>
    <w:rsid w:val="00624CEA"/>
    <w:rsid w:val="006252F8"/>
    <w:rsid w:val="00625516"/>
    <w:rsid w:val="006255A5"/>
    <w:rsid w:val="00625940"/>
    <w:rsid w:val="00625CEF"/>
    <w:rsid w:val="00625F45"/>
    <w:rsid w:val="00626601"/>
    <w:rsid w:val="006267F7"/>
    <w:rsid w:val="0062680B"/>
    <w:rsid w:val="00626ACD"/>
    <w:rsid w:val="006270BF"/>
    <w:rsid w:val="0062772E"/>
    <w:rsid w:val="0062772F"/>
    <w:rsid w:val="006277CC"/>
    <w:rsid w:val="00627803"/>
    <w:rsid w:val="00627890"/>
    <w:rsid w:val="00627D42"/>
    <w:rsid w:val="00627D95"/>
    <w:rsid w:val="00627F1E"/>
    <w:rsid w:val="00630055"/>
    <w:rsid w:val="0063005E"/>
    <w:rsid w:val="00630165"/>
    <w:rsid w:val="00630297"/>
    <w:rsid w:val="006302A6"/>
    <w:rsid w:val="006305AE"/>
    <w:rsid w:val="00630626"/>
    <w:rsid w:val="00630678"/>
    <w:rsid w:val="00630737"/>
    <w:rsid w:val="00630738"/>
    <w:rsid w:val="00630A24"/>
    <w:rsid w:val="00630D2E"/>
    <w:rsid w:val="00630D42"/>
    <w:rsid w:val="00630D89"/>
    <w:rsid w:val="00630E2E"/>
    <w:rsid w:val="00630E7E"/>
    <w:rsid w:val="006310C8"/>
    <w:rsid w:val="00631181"/>
    <w:rsid w:val="00631311"/>
    <w:rsid w:val="00631779"/>
    <w:rsid w:val="00631C48"/>
    <w:rsid w:val="00631EDC"/>
    <w:rsid w:val="00632693"/>
    <w:rsid w:val="006327CE"/>
    <w:rsid w:val="00632872"/>
    <w:rsid w:val="00632AAB"/>
    <w:rsid w:val="0063309B"/>
    <w:rsid w:val="0063321E"/>
    <w:rsid w:val="006334C5"/>
    <w:rsid w:val="006334F0"/>
    <w:rsid w:val="0063381B"/>
    <w:rsid w:val="006338E8"/>
    <w:rsid w:val="00633980"/>
    <w:rsid w:val="006339D1"/>
    <w:rsid w:val="00633A4F"/>
    <w:rsid w:val="00633B7A"/>
    <w:rsid w:val="00633E4B"/>
    <w:rsid w:val="0063401A"/>
    <w:rsid w:val="0063431E"/>
    <w:rsid w:val="00634340"/>
    <w:rsid w:val="006346FC"/>
    <w:rsid w:val="00634784"/>
    <w:rsid w:val="00634C72"/>
    <w:rsid w:val="00634CFD"/>
    <w:rsid w:val="006351CD"/>
    <w:rsid w:val="0063539A"/>
    <w:rsid w:val="006359D5"/>
    <w:rsid w:val="00635A05"/>
    <w:rsid w:val="00635D14"/>
    <w:rsid w:val="00635E7B"/>
    <w:rsid w:val="00636372"/>
    <w:rsid w:val="00636832"/>
    <w:rsid w:val="00636AD8"/>
    <w:rsid w:val="00636AE8"/>
    <w:rsid w:val="00636C83"/>
    <w:rsid w:val="00636CE8"/>
    <w:rsid w:val="00636EC2"/>
    <w:rsid w:val="00636FA8"/>
    <w:rsid w:val="0063735C"/>
    <w:rsid w:val="006373DA"/>
    <w:rsid w:val="00637868"/>
    <w:rsid w:val="006379A1"/>
    <w:rsid w:val="006379E0"/>
    <w:rsid w:val="006379F6"/>
    <w:rsid w:val="00637A43"/>
    <w:rsid w:val="0064001A"/>
    <w:rsid w:val="006405B4"/>
    <w:rsid w:val="00640625"/>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C44"/>
    <w:rsid w:val="00641CE7"/>
    <w:rsid w:val="00641DBE"/>
    <w:rsid w:val="0064231F"/>
    <w:rsid w:val="00642432"/>
    <w:rsid w:val="006424C6"/>
    <w:rsid w:val="0064259C"/>
    <w:rsid w:val="00642682"/>
    <w:rsid w:val="006428A3"/>
    <w:rsid w:val="006429F8"/>
    <w:rsid w:val="00642ABD"/>
    <w:rsid w:val="00642B97"/>
    <w:rsid w:val="00642E83"/>
    <w:rsid w:val="00642EFD"/>
    <w:rsid w:val="00643206"/>
    <w:rsid w:val="006433A7"/>
    <w:rsid w:val="006433F3"/>
    <w:rsid w:val="0064383D"/>
    <w:rsid w:val="006438A5"/>
    <w:rsid w:val="006439F7"/>
    <w:rsid w:val="00643D70"/>
    <w:rsid w:val="00643FDE"/>
    <w:rsid w:val="006441E3"/>
    <w:rsid w:val="00644445"/>
    <w:rsid w:val="0064446D"/>
    <w:rsid w:val="00644509"/>
    <w:rsid w:val="0064476B"/>
    <w:rsid w:val="00644DAD"/>
    <w:rsid w:val="00644DF6"/>
    <w:rsid w:val="00644E79"/>
    <w:rsid w:val="00645061"/>
    <w:rsid w:val="00645208"/>
    <w:rsid w:val="0064528E"/>
    <w:rsid w:val="00645818"/>
    <w:rsid w:val="00645D33"/>
    <w:rsid w:val="00646458"/>
    <w:rsid w:val="006465F1"/>
    <w:rsid w:val="00646CA1"/>
    <w:rsid w:val="00646CDF"/>
    <w:rsid w:val="00646D09"/>
    <w:rsid w:val="00646D23"/>
    <w:rsid w:val="00646F8F"/>
    <w:rsid w:val="00646F95"/>
    <w:rsid w:val="006471B0"/>
    <w:rsid w:val="006471E8"/>
    <w:rsid w:val="006472C6"/>
    <w:rsid w:val="00647420"/>
    <w:rsid w:val="00647E1E"/>
    <w:rsid w:val="00647E4F"/>
    <w:rsid w:val="00647EEB"/>
    <w:rsid w:val="00647FBA"/>
    <w:rsid w:val="00647FDB"/>
    <w:rsid w:val="0065013B"/>
    <w:rsid w:val="0065055E"/>
    <w:rsid w:val="0065078F"/>
    <w:rsid w:val="006509DF"/>
    <w:rsid w:val="00650CFB"/>
    <w:rsid w:val="00650E18"/>
    <w:rsid w:val="00651058"/>
    <w:rsid w:val="00651341"/>
    <w:rsid w:val="00651368"/>
    <w:rsid w:val="006513C4"/>
    <w:rsid w:val="006513D8"/>
    <w:rsid w:val="006515EE"/>
    <w:rsid w:val="00651F9F"/>
    <w:rsid w:val="00652491"/>
    <w:rsid w:val="00652E41"/>
    <w:rsid w:val="00653325"/>
    <w:rsid w:val="0065333D"/>
    <w:rsid w:val="00653462"/>
    <w:rsid w:val="006536F9"/>
    <w:rsid w:val="00653C6D"/>
    <w:rsid w:val="00653D47"/>
    <w:rsid w:val="00653DF4"/>
    <w:rsid w:val="0065407D"/>
    <w:rsid w:val="006542FC"/>
    <w:rsid w:val="00654906"/>
    <w:rsid w:val="00654A08"/>
    <w:rsid w:val="00654A1C"/>
    <w:rsid w:val="006553AE"/>
    <w:rsid w:val="006554A6"/>
    <w:rsid w:val="00655A97"/>
    <w:rsid w:val="00655C96"/>
    <w:rsid w:val="00655D24"/>
    <w:rsid w:val="00656298"/>
    <w:rsid w:val="00656435"/>
    <w:rsid w:val="0065652A"/>
    <w:rsid w:val="00656559"/>
    <w:rsid w:val="006565B3"/>
    <w:rsid w:val="006566B9"/>
    <w:rsid w:val="006568CC"/>
    <w:rsid w:val="0065696F"/>
    <w:rsid w:val="00656F3E"/>
    <w:rsid w:val="00657108"/>
    <w:rsid w:val="00657204"/>
    <w:rsid w:val="0065729E"/>
    <w:rsid w:val="0065775C"/>
    <w:rsid w:val="006578B9"/>
    <w:rsid w:val="00657C1B"/>
    <w:rsid w:val="00657D22"/>
    <w:rsid w:val="00657DAA"/>
    <w:rsid w:val="006600FA"/>
    <w:rsid w:val="00660140"/>
    <w:rsid w:val="0066019F"/>
    <w:rsid w:val="00660220"/>
    <w:rsid w:val="0066041B"/>
    <w:rsid w:val="00660463"/>
    <w:rsid w:val="006605D6"/>
    <w:rsid w:val="0066083F"/>
    <w:rsid w:val="00660ADF"/>
    <w:rsid w:val="00660DE8"/>
    <w:rsid w:val="006615CA"/>
    <w:rsid w:val="006616D3"/>
    <w:rsid w:val="00661CAA"/>
    <w:rsid w:val="00661EB9"/>
    <w:rsid w:val="00661F1C"/>
    <w:rsid w:val="00662377"/>
    <w:rsid w:val="00662420"/>
    <w:rsid w:val="006624BD"/>
    <w:rsid w:val="00662653"/>
    <w:rsid w:val="00662655"/>
    <w:rsid w:val="006629E2"/>
    <w:rsid w:val="00662EDF"/>
    <w:rsid w:val="00663153"/>
    <w:rsid w:val="006631D6"/>
    <w:rsid w:val="006631D9"/>
    <w:rsid w:val="00663363"/>
    <w:rsid w:val="00663599"/>
    <w:rsid w:val="0066402B"/>
    <w:rsid w:val="00664127"/>
    <w:rsid w:val="00664350"/>
    <w:rsid w:val="00664550"/>
    <w:rsid w:val="006645A4"/>
    <w:rsid w:val="006645D7"/>
    <w:rsid w:val="00664C7E"/>
    <w:rsid w:val="0066518C"/>
    <w:rsid w:val="00665834"/>
    <w:rsid w:val="006658BA"/>
    <w:rsid w:val="00665B9D"/>
    <w:rsid w:val="00665CCC"/>
    <w:rsid w:val="00665FAE"/>
    <w:rsid w:val="0066605D"/>
    <w:rsid w:val="006660C6"/>
    <w:rsid w:val="006660CE"/>
    <w:rsid w:val="006661C8"/>
    <w:rsid w:val="00666395"/>
    <w:rsid w:val="00666476"/>
    <w:rsid w:val="006668F3"/>
    <w:rsid w:val="00666A68"/>
    <w:rsid w:val="00666A81"/>
    <w:rsid w:val="00666AAC"/>
    <w:rsid w:val="00666DD8"/>
    <w:rsid w:val="00666EB7"/>
    <w:rsid w:val="00666ED2"/>
    <w:rsid w:val="00666F74"/>
    <w:rsid w:val="00666FC8"/>
    <w:rsid w:val="006673B8"/>
    <w:rsid w:val="00667675"/>
    <w:rsid w:val="00667765"/>
    <w:rsid w:val="00667845"/>
    <w:rsid w:val="00667A56"/>
    <w:rsid w:val="00670026"/>
    <w:rsid w:val="0067045D"/>
    <w:rsid w:val="006705F0"/>
    <w:rsid w:val="006707CC"/>
    <w:rsid w:val="00670804"/>
    <w:rsid w:val="006709E3"/>
    <w:rsid w:val="00670B5A"/>
    <w:rsid w:val="00670B7C"/>
    <w:rsid w:val="00670CD8"/>
    <w:rsid w:val="00670E91"/>
    <w:rsid w:val="006710D4"/>
    <w:rsid w:val="006711CE"/>
    <w:rsid w:val="00671283"/>
    <w:rsid w:val="00671622"/>
    <w:rsid w:val="006717F3"/>
    <w:rsid w:val="0067196B"/>
    <w:rsid w:val="00671CD7"/>
    <w:rsid w:val="006726F4"/>
    <w:rsid w:val="006726F6"/>
    <w:rsid w:val="00672AFA"/>
    <w:rsid w:val="00672B77"/>
    <w:rsid w:val="00672D55"/>
    <w:rsid w:val="00672D6D"/>
    <w:rsid w:val="00672E4A"/>
    <w:rsid w:val="006731BF"/>
    <w:rsid w:val="00673227"/>
    <w:rsid w:val="006733B4"/>
    <w:rsid w:val="00673716"/>
    <w:rsid w:val="00673887"/>
    <w:rsid w:val="00673A20"/>
    <w:rsid w:val="00673ACA"/>
    <w:rsid w:val="00673B4E"/>
    <w:rsid w:val="00673E6D"/>
    <w:rsid w:val="00673F38"/>
    <w:rsid w:val="00673F6B"/>
    <w:rsid w:val="0067453C"/>
    <w:rsid w:val="0067475E"/>
    <w:rsid w:val="0067481A"/>
    <w:rsid w:val="006749A2"/>
    <w:rsid w:val="00674A87"/>
    <w:rsid w:val="00674B90"/>
    <w:rsid w:val="006752A7"/>
    <w:rsid w:val="006758F1"/>
    <w:rsid w:val="00675A0A"/>
    <w:rsid w:val="00675B6E"/>
    <w:rsid w:val="006765FF"/>
    <w:rsid w:val="00676A70"/>
    <w:rsid w:val="00676B69"/>
    <w:rsid w:val="00676D93"/>
    <w:rsid w:val="00676DC3"/>
    <w:rsid w:val="00677466"/>
    <w:rsid w:val="00677746"/>
    <w:rsid w:val="00677EB3"/>
    <w:rsid w:val="00680350"/>
    <w:rsid w:val="0068045D"/>
    <w:rsid w:val="006804CE"/>
    <w:rsid w:val="0068069F"/>
    <w:rsid w:val="006806F8"/>
    <w:rsid w:val="00680886"/>
    <w:rsid w:val="006808B6"/>
    <w:rsid w:val="00680968"/>
    <w:rsid w:val="00680BC8"/>
    <w:rsid w:val="00680DFA"/>
    <w:rsid w:val="00681497"/>
    <w:rsid w:val="006815E0"/>
    <w:rsid w:val="006816F4"/>
    <w:rsid w:val="006816F9"/>
    <w:rsid w:val="0068170C"/>
    <w:rsid w:val="006818E5"/>
    <w:rsid w:val="0068197D"/>
    <w:rsid w:val="00681B59"/>
    <w:rsid w:val="0068217C"/>
    <w:rsid w:val="00682289"/>
    <w:rsid w:val="006822E1"/>
    <w:rsid w:val="006823A1"/>
    <w:rsid w:val="006825E1"/>
    <w:rsid w:val="00682793"/>
    <w:rsid w:val="00682972"/>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8BF"/>
    <w:rsid w:val="00684A1E"/>
    <w:rsid w:val="00684FF2"/>
    <w:rsid w:val="006853A9"/>
    <w:rsid w:val="00685676"/>
    <w:rsid w:val="0068569D"/>
    <w:rsid w:val="00685CB5"/>
    <w:rsid w:val="006864E1"/>
    <w:rsid w:val="00686770"/>
    <w:rsid w:val="0068684A"/>
    <w:rsid w:val="00686A61"/>
    <w:rsid w:val="00686A9E"/>
    <w:rsid w:val="00686BE7"/>
    <w:rsid w:val="0068756B"/>
    <w:rsid w:val="006875FD"/>
    <w:rsid w:val="0068764D"/>
    <w:rsid w:val="00687832"/>
    <w:rsid w:val="00687854"/>
    <w:rsid w:val="00687E15"/>
    <w:rsid w:val="00687F88"/>
    <w:rsid w:val="0069048E"/>
    <w:rsid w:val="006906C2"/>
    <w:rsid w:val="00690D77"/>
    <w:rsid w:val="006910DB"/>
    <w:rsid w:val="006911F9"/>
    <w:rsid w:val="0069138B"/>
    <w:rsid w:val="006913FF"/>
    <w:rsid w:val="00691703"/>
    <w:rsid w:val="00691974"/>
    <w:rsid w:val="00692110"/>
    <w:rsid w:val="00692181"/>
    <w:rsid w:val="006921AD"/>
    <w:rsid w:val="00692564"/>
    <w:rsid w:val="00692AE3"/>
    <w:rsid w:val="00692E18"/>
    <w:rsid w:val="00692F88"/>
    <w:rsid w:val="00692FDA"/>
    <w:rsid w:val="006931C4"/>
    <w:rsid w:val="00693A52"/>
    <w:rsid w:val="006941A2"/>
    <w:rsid w:val="00694405"/>
    <w:rsid w:val="00694476"/>
    <w:rsid w:val="0069467A"/>
    <w:rsid w:val="00694850"/>
    <w:rsid w:val="0069486A"/>
    <w:rsid w:val="006948CE"/>
    <w:rsid w:val="00694B35"/>
    <w:rsid w:val="00694E31"/>
    <w:rsid w:val="00694F02"/>
    <w:rsid w:val="00694F13"/>
    <w:rsid w:val="00695616"/>
    <w:rsid w:val="0069577D"/>
    <w:rsid w:val="006959B5"/>
    <w:rsid w:val="006959EB"/>
    <w:rsid w:val="00695B0F"/>
    <w:rsid w:val="00695E1A"/>
    <w:rsid w:val="00695F0E"/>
    <w:rsid w:val="00696285"/>
    <w:rsid w:val="006969E3"/>
    <w:rsid w:val="006971EC"/>
    <w:rsid w:val="00697277"/>
    <w:rsid w:val="00697396"/>
    <w:rsid w:val="0069744E"/>
    <w:rsid w:val="00697622"/>
    <w:rsid w:val="00697790"/>
    <w:rsid w:val="006977FB"/>
    <w:rsid w:val="00697978"/>
    <w:rsid w:val="00697A84"/>
    <w:rsid w:val="00697B72"/>
    <w:rsid w:val="00697E57"/>
    <w:rsid w:val="00697E97"/>
    <w:rsid w:val="006A0525"/>
    <w:rsid w:val="006A066C"/>
    <w:rsid w:val="006A0EF1"/>
    <w:rsid w:val="006A1608"/>
    <w:rsid w:val="006A1999"/>
    <w:rsid w:val="006A1A70"/>
    <w:rsid w:val="006A1ABD"/>
    <w:rsid w:val="006A1AC3"/>
    <w:rsid w:val="006A1B28"/>
    <w:rsid w:val="006A1CC3"/>
    <w:rsid w:val="006A1DB7"/>
    <w:rsid w:val="006A20E3"/>
    <w:rsid w:val="006A2530"/>
    <w:rsid w:val="006A28B0"/>
    <w:rsid w:val="006A2A12"/>
    <w:rsid w:val="006A2B42"/>
    <w:rsid w:val="006A2FDE"/>
    <w:rsid w:val="006A3397"/>
    <w:rsid w:val="006A347D"/>
    <w:rsid w:val="006A34C5"/>
    <w:rsid w:val="006A34DE"/>
    <w:rsid w:val="006A3925"/>
    <w:rsid w:val="006A3C2E"/>
    <w:rsid w:val="006A3D59"/>
    <w:rsid w:val="006A443D"/>
    <w:rsid w:val="006A4493"/>
    <w:rsid w:val="006A45D1"/>
    <w:rsid w:val="006A471E"/>
    <w:rsid w:val="006A480D"/>
    <w:rsid w:val="006A4BC4"/>
    <w:rsid w:val="006A4C0E"/>
    <w:rsid w:val="006A4DC5"/>
    <w:rsid w:val="006A4E10"/>
    <w:rsid w:val="006A510C"/>
    <w:rsid w:val="006A58FC"/>
    <w:rsid w:val="006A595C"/>
    <w:rsid w:val="006A5E26"/>
    <w:rsid w:val="006A61C4"/>
    <w:rsid w:val="006A6456"/>
    <w:rsid w:val="006A664F"/>
    <w:rsid w:val="006A6838"/>
    <w:rsid w:val="006A6996"/>
    <w:rsid w:val="006A6BFA"/>
    <w:rsid w:val="006A6C31"/>
    <w:rsid w:val="006A6EF3"/>
    <w:rsid w:val="006A6F37"/>
    <w:rsid w:val="006A70AD"/>
    <w:rsid w:val="006A71D5"/>
    <w:rsid w:val="006A72FA"/>
    <w:rsid w:val="006A732A"/>
    <w:rsid w:val="006A75F7"/>
    <w:rsid w:val="006A78EF"/>
    <w:rsid w:val="006A793C"/>
    <w:rsid w:val="006A7A35"/>
    <w:rsid w:val="006A7C17"/>
    <w:rsid w:val="006A7D1C"/>
    <w:rsid w:val="006B007A"/>
    <w:rsid w:val="006B0BD0"/>
    <w:rsid w:val="006B112F"/>
    <w:rsid w:val="006B116F"/>
    <w:rsid w:val="006B12DE"/>
    <w:rsid w:val="006B13E6"/>
    <w:rsid w:val="006B16C5"/>
    <w:rsid w:val="006B178C"/>
    <w:rsid w:val="006B17D5"/>
    <w:rsid w:val="006B184F"/>
    <w:rsid w:val="006B197C"/>
    <w:rsid w:val="006B1B4B"/>
    <w:rsid w:val="006B1C37"/>
    <w:rsid w:val="006B1CA7"/>
    <w:rsid w:val="006B1DC1"/>
    <w:rsid w:val="006B1E44"/>
    <w:rsid w:val="006B2091"/>
    <w:rsid w:val="006B2271"/>
    <w:rsid w:val="006B2544"/>
    <w:rsid w:val="006B2619"/>
    <w:rsid w:val="006B2B75"/>
    <w:rsid w:val="006B2F6F"/>
    <w:rsid w:val="006B326C"/>
    <w:rsid w:val="006B327F"/>
    <w:rsid w:val="006B328D"/>
    <w:rsid w:val="006B34B6"/>
    <w:rsid w:val="006B34D0"/>
    <w:rsid w:val="006B372E"/>
    <w:rsid w:val="006B3825"/>
    <w:rsid w:val="006B3C9E"/>
    <w:rsid w:val="006B3F2B"/>
    <w:rsid w:val="006B40FB"/>
    <w:rsid w:val="006B46FD"/>
    <w:rsid w:val="006B476D"/>
    <w:rsid w:val="006B4E0A"/>
    <w:rsid w:val="006B4EF4"/>
    <w:rsid w:val="006B5021"/>
    <w:rsid w:val="006B5246"/>
    <w:rsid w:val="006B5AA8"/>
    <w:rsid w:val="006B60AD"/>
    <w:rsid w:val="006B610E"/>
    <w:rsid w:val="006B632D"/>
    <w:rsid w:val="006B654B"/>
    <w:rsid w:val="006B6D36"/>
    <w:rsid w:val="006B6E33"/>
    <w:rsid w:val="006B6F28"/>
    <w:rsid w:val="006B7282"/>
    <w:rsid w:val="006B730D"/>
    <w:rsid w:val="006B731B"/>
    <w:rsid w:val="006B7833"/>
    <w:rsid w:val="006B7D01"/>
    <w:rsid w:val="006B7DCC"/>
    <w:rsid w:val="006B7F43"/>
    <w:rsid w:val="006C01E5"/>
    <w:rsid w:val="006C0487"/>
    <w:rsid w:val="006C0547"/>
    <w:rsid w:val="006C09F2"/>
    <w:rsid w:val="006C0B58"/>
    <w:rsid w:val="006C0CCE"/>
    <w:rsid w:val="006C0EE6"/>
    <w:rsid w:val="006C0F46"/>
    <w:rsid w:val="006C13B7"/>
    <w:rsid w:val="006C157B"/>
    <w:rsid w:val="006C2269"/>
    <w:rsid w:val="006C2554"/>
    <w:rsid w:val="006C2961"/>
    <w:rsid w:val="006C2A53"/>
    <w:rsid w:val="006C2AB8"/>
    <w:rsid w:val="006C33A8"/>
    <w:rsid w:val="006C34C1"/>
    <w:rsid w:val="006C3663"/>
    <w:rsid w:val="006C366D"/>
    <w:rsid w:val="006C3702"/>
    <w:rsid w:val="006C377C"/>
    <w:rsid w:val="006C37AA"/>
    <w:rsid w:val="006C37C2"/>
    <w:rsid w:val="006C397F"/>
    <w:rsid w:val="006C3B02"/>
    <w:rsid w:val="006C3C83"/>
    <w:rsid w:val="006C3E60"/>
    <w:rsid w:val="006C40E4"/>
    <w:rsid w:val="006C4217"/>
    <w:rsid w:val="006C43E5"/>
    <w:rsid w:val="006C4B24"/>
    <w:rsid w:val="006C4C0F"/>
    <w:rsid w:val="006C56C7"/>
    <w:rsid w:val="006C5FA0"/>
    <w:rsid w:val="006C61CC"/>
    <w:rsid w:val="006C61FE"/>
    <w:rsid w:val="006C6208"/>
    <w:rsid w:val="006C6B65"/>
    <w:rsid w:val="006C6CE3"/>
    <w:rsid w:val="006C6E42"/>
    <w:rsid w:val="006C7124"/>
    <w:rsid w:val="006C73D1"/>
    <w:rsid w:val="006C747F"/>
    <w:rsid w:val="006C748D"/>
    <w:rsid w:val="006C758C"/>
    <w:rsid w:val="006C76A0"/>
    <w:rsid w:val="006C7709"/>
    <w:rsid w:val="006C7A1E"/>
    <w:rsid w:val="006C7ACC"/>
    <w:rsid w:val="006C7D55"/>
    <w:rsid w:val="006C7E53"/>
    <w:rsid w:val="006D006C"/>
    <w:rsid w:val="006D0082"/>
    <w:rsid w:val="006D012F"/>
    <w:rsid w:val="006D059C"/>
    <w:rsid w:val="006D06BD"/>
    <w:rsid w:val="006D0A3F"/>
    <w:rsid w:val="006D0B4B"/>
    <w:rsid w:val="006D0D08"/>
    <w:rsid w:val="006D1188"/>
    <w:rsid w:val="006D12DF"/>
    <w:rsid w:val="006D181D"/>
    <w:rsid w:val="006D19F7"/>
    <w:rsid w:val="006D1E02"/>
    <w:rsid w:val="006D1E5C"/>
    <w:rsid w:val="006D22BA"/>
    <w:rsid w:val="006D270C"/>
    <w:rsid w:val="006D2D01"/>
    <w:rsid w:val="006D3288"/>
    <w:rsid w:val="006D3886"/>
    <w:rsid w:val="006D396D"/>
    <w:rsid w:val="006D39AD"/>
    <w:rsid w:val="006D39E9"/>
    <w:rsid w:val="006D3D7B"/>
    <w:rsid w:val="006D3F14"/>
    <w:rsid w:val="006D40E1"/>
    <w:rsid w:val="006D416C"/>
    <w:rsid w:val="006D4517"/>
    <w:rsid w:val="006D472A"/>
    <w:rsid w:val="006D4C8A"/>
    <w:rsid w:val="006D4D64"/>
    <w:rsid w:val="006D4D69"/>
    <w:rsid w:val="006D4EBD"/>
    <w:rsid w:val="006D503A"/>
    <w:rsid w:val="006D5122"/>
    <w:rsid w:val="006D53AC"/>
    <w:rsid w:val="006D552E"/>
    <w:rsid w:val="006D5BEF"/>
    <w:rsid w:val="006D5FDC"/>
    <w:rsid w:val="006D610E"/>
    <w:rsid w:val="006D6149"/>
    <w:rsid w:val="006D6322"/>
    <w:rsid w:val="006D6768"/>
    <w:rsid w:val="006D6B98"/>
    <w:rsid w:val="006D6C5D"/>
    <w:rsid w:val="006D6FC7"/>
    <w:rsid w:val="006D7687"/>
    <w:rsid w:val="006D7E9A"/>
    <w:rsid w:val="006D7F3A"/>
    <w:rsid w:val="006E02DF"/>
    <w:rsid w:val="006E0699"/>
    <w:rsid w:val="006E0979"/>
    <w:rsid w:val="006E09F2"/>
    <w:rsid w:val="006E0A36"/>
    <w:rsid w:val="006E0B67"/>
    <w:rsid w:val="006E0CB0"/>
    <w:rsid w:val="006E0D81"/>
    <w:rsid w:val="006E141C"/>
    <w:rsid w:val="006E1E63"/>
    <w:rsid w:val="006E208E"/>
    <w:rsid w:val="006E21E4"/>
    <w:rsid w:val="006E24D0"/>
    <w:rsid w:val="006E2545"/>
    <w:rsid w:val="006E26DF"/>
    <w:rsid w:val="006E2B7F"/>
    <w:rsid w:val="006E2F42"/>
    <w:rsid w:val="006E305C"/>
    <w:rsid w:val="006E32FF"/>
    <w:rsid w:val="006E33BE"/>
    <w:rsid w:val="006E3A1C"/>
    <w:rsid w:val="006E3B40"/>
    <w:rsid w:val="006E3BF7"/>
    <w:rsid w:val="006E3C2C"/>
    <w:rsid w:val="006E3FBC"/>
    <w:rsid w:val="006E4386"/>
    <w:rsid w:val="006E457E"/>
    <w:rsid w:val="006E46B3"/>
    <w:rsid w:val="006E497D"/>
    <w:rsid w:val="006E4B7A"/>
    <w:rsid w:val="006E50BC"/>
    <w:rsid w:val="006E50CF"/>
    <w:rsid w:val="006E53DB"/>
    <w:rsid w:val="006E583C"/>
    <w:rsid w:val="006E59BA"/>
    <w:rsid w:val="006E5CA2"/>
    <w:rsid w:val="006E6674"/>
    <w:rsid w:val="006E66E4"/>
    <w:rsid w:val="006E6894"/>
    <w:rsid w:val="006E689A"/>
    <w:rsid w:val="006E6AE3"/>
    <w:rsid w:val="006E6B39"/>
    <w:rsid w:val="006E7269"/>
    <w:rsid w:val="006E7432"/>
    <w:rsid w:val="006E744D"/>
    <w:rsid w:val="006E746F"/>
    <w:rsid w:val="006E754C"/>
    <w:rsid w:val="006E7568"/>
    <w:rsid w:val="006E7631"/>
    <w:rsid w:val="006E779C"/>
    <w:rsid w:val="006E79B2"/>
    <w:rsid w:val="006E7A1A"/>
    <w:rsid w:val="006E7A61"/>
    <w:rsid w:val="006E7DA5"/>
    <w:rsid w:val="006F0342"/>
    <w:rsid w:val="006F0476"/>
    <w:rsid w:val="006F0881"/>
    <w:rsid w:val="006F0C0B"/>
    <w:rsid w:val="006F0DD9"/>
    <w:rsid w:val="006F0F35"/>
    <w:rsid w:val="006F0F37"/>
    <w:rsid w:val="006F0FFA"/>
    <w:rsid w:val="006F1015"/>
    <w:rsid w:val="006F1058"/>
    <w:rsid w:val="006F11C7"/>
    <w:rsid w:val="006F15F5"/>
    <w:rsid w:val="006F1600"/>
    <w:rsid w:val="006F1C12"/>
    <w:rsid w:val="006F1C2E"/>
    <w:rsid w:val="006F1D29"/>
    <w:rsid w:val="006F1D36"/>
    <w:rsid w:val="006F1D76"/>
    <w:rsid w:val="006F1DFD"/>
    <w:rsid w:val="006F2386"/>
    <w:rsid w:val="006F2565"/>
    <w:rsid w:val="006F288B"/>
    <w:rsid w:val="006F3167"/>
    <w:rsid w:val="006F31B3"/>
    <w:rsid w:val="006F32AF"/>
    <w:rsid w:val="006F3412"/>
    <w:rsid w:val="006F3764"/>
    <w:rsid w:val="006F3C06"/>
    <w:rsid w:val="006F40F4"/>
    <w:rsid w:val="006F4754"/>
    <w:rsid w:val="006F495F"/>
    <w:rsid w:val="006F4DAF"/>
    <w:rsid w:val="006F4E30"/>
    <w:rsid w:val="006F4ECA"/>
    <w:rsid w:val="006F50A0"/>
    <w:rsid w:val="006F5D42"/>
    <w:rsid w:val="006F5DC9"/>
    <w:rsid w:val="006F5F19"/>
    <w:rsid w:val="006F61DF"/>
    <w:rsid w:val="006F62AC"/>
    <w:rsid w:val="006F6366"/>
    <w:rsid w:val="006F64FD"/>
    <w:rsid w:val="006F64FE"/>
    <w:rsid w:val="006F6662"/>
    <w:rsid w:val="006F6858"/>
    <w:rsid w:val="006F6CE0"/>
    <w:rsid w:val="006F6EDB"/>
    <w:rsid w:val="006F6F67"/>
    <w:rsid w:val="006F705D"/>
    <w:rsid w:val="006F707A"/>
    <w:rsid w:val="006F736D"/>
    <w:rsid w:val="006F73FA"/>
    <w:rsid w:val="006F7573"/>
    <w:rsid w:val="006F77CF"/>
    <w:rsid w:val="006F790B"/>
    <w:rsid w:val="006F7ADA"/>
    <w:rsid w:val="006F7F16"/>
    <w:rsid w:val="006F7FDF"/>
    <w:rsid w:val="0070019E"/>
    <w:rsid w:val="0070034B"/>
    <w:rsid w:val="00700692"/>
    <w:rsid w:val="00700AF3"/>
    <w:rsid w:val="00700BE2"/>
    <w:rsid w:val="007011F1"/>
    <w:rsid w:val="0070138A"/>
    <w:rsid w:val="007018DF"/>
    <w:rsid w:val="00701ACD"/>
    <w:rsid w:val="00701B31"/>
    <w:rsid w:val="00701DC6"/>
    <w:rsid w:val="00702276"/>
    <w:rsid w:val="00702561"/>
    <w:rsid w:val="00702820"/>
    <w:rsid w:val="0070283A"/>
    <w:rsid w:val="00702A4F"/>
    <w:rsid w:val="00702CC3"/>
    <w:rsid w:val="007031BA"/>
    <w:rsid w:val="00703241"/>
    <w:rsid w:val="00703478"/>
    <w:rsid w:val="00703CB7"/>
    <w:rsid w:val="00703F05"/>
    <w:rsid w:val="00703F1B"/>
    <w:rsid w:val="00704165"/>
    <w:rsid w:val="00704336"/>
    <w:rsid w:val="00704B1F"/>
    <w:rsid w:val="00704F89"/>
    <w:rsid w:val="00704FDA"/>
    <w:rsid w:val="00704FEC"/>
    <w:rsid w:val="0070507F"/>
    <w:rsid w:val="007050BA"/>
    <w:rsid w:val="00705262"/>
    <w:rsid w:val="00705360"/>
    <w:rsid w:val="007053A0"/>
    <w:rsid w:val="0070544A"/>
    <w:rsid w:val="00705770"/>
    <w:rsid w:val="00705D0B"/>
    <w:rsid w:val="00705FA1"/>
    <w:rsid w:val="007060C9"/>
    <w:rsid w:val="007061F0"/>
    <w:rsid w:val="00706481"/>
    <w:rsid w:val="00706551"/>
    <w:rsid w:val="0070664E"/>
    <w:rsid w:val="00706706"/>
    <w:rsid w:val="00706766"/>
    <w:rsid w:val="007067BB"/>
    <w:rsid w:val="007069AD"/>
    <w:rsid w:val="00706E5F"/>
    <w:rsid w:val="00707064"/>
    <w:rsid w:val="007073EC"/>
    <w:rsid w:val="007079AF"/>
    <w:rsid w:val="007079F3"/>
    <w:rsid w:val="00707D23"/>
    <w:rsid w:val="00707D24"/>
    <w:rsid w:val="00707D3A"/>
    <w:rsid w:val="00707DC4"/>
    <w:rsid w:val="00707DE2"/>
    <w:rsid w:val="007102C3"/>
    <w:rsid w:val="007105DD"/>
    <w:rsid w:val="0071066D"/>
    <w:rsid w:val="007106EE"/>
    <w:rsid w:val="007109C8"/>
    <w:rsid w:val="00710A2F"/>
    <w:rsid w:val="00710CA5"/>
    <w:rsid w:val="00711079"/>
    <w:rsid w:val="00711556"/>
    <w:rsid w:val="0071157F"/>
    <w:rsid w:val="007115C4"/>
    <w:rsid w:val="00711A20"/>
    <w:rsid w:val="00711A56"/>
    <w:rsid w:val="00711C58"/>
    <w:rsid w:val="00711EE5"/>
    <w:rsid w:val="00712283"/>
    <w:rsid w:val="007125B7"/>
    <w:rsid w:val="0071298F"/>
    <w:rsid w:val="00712AA2"/>
    <w:rsid w:val="00712B91"/>
    <w:rsid w:val="00712F5A"/>
    <w:rsid w:val="0071305C"/>
    <w:rsid w:val="007132D7"/>
    <w:rsid w:val="0071355B"/>
    <w:rsid w:val="007136BA"/>
    <w:rsid w:val="00713F39"/>
    <w:rsid w:val="0071413A"/>
    <w:rsid w:val="007142C4"/>
    <w:rsid w:val="0071444F"/>
    <w:rsid w:val="007145F8"/>
    <w:rsid w:val="00714980"/>
    <w:rsid w:val="00714DC1"/>
    <w:rsid w:val="00714E5D"/>
    <w:rsid w:val="00714FBA"/>
    <w:rsid w:val="00714FD4"/>
    <w:rsid w:val="0071518E"/>
    <w:rsid w:val="00715295"/>
    <w:rsid w:val="007152A4"/>
    <w:rsid w:val="00715366"/>
    <w:rsid w:val="007156AB"/>
    <w:rsid w:val="007156C4"/>
    <w:rsid w:val="00715916"/>
    <w:rsid w:val="00715AED"/>
    <w:rsid w:val="00715F54"/>
    <w:rsid w:val="0071637D"/>
    <w:rsid w:val="00716436"/>
    <w:rsid w:val="00716AB5"/>
    <w:rsid w:val="00716F24"/>
    <w:rsid w:val="007174EE"/>
    <w:rsid w:val="00717729"/>
    <w:rsid w:val="0071797C"/>
    <w:rsid w:val="00717AD5"/>
    <w:rsid w:val="00717D6F"/>
    <w:rsid w:val="00717F82"/>
    <w:rsid w:val="00720A02"/>
    <w:rsid w:val="00720A03"/>
    <w:rsid w:val="00720AED"/>
    <w:rsid w:val="00720B74"/>
    <w:rsid w:val="00720CE4"/>
    <w:rsid w:val="00720D50"/>
    <w:rsid w:val="00720D52"/>
    <w:rsid w:val="00720D54"/>
    <w:rsid w:val="00720EDE"/>
    <w:rsid w:val="007214DC"/>
    <w:rsid w:val="007219CF"/>
    <w:rsid w:val="00721BB2"/>
    <w:rsid w:val="00721BED"/>
    <w:rsid w:val="00721BF3"/>
    <w:rsid w:val="00721D5C"/>
    <w:rsid w:val="00722393"/>
    <w:rsid w:val="007225DD"/>
    <w:rsid w:val="0072267D"/>
    <w:rsid w:val="00722793"/>
    <w:rsid w:val="00722A36"/>
    <w:rsid w:val="00722E31"/>
    <w:rsid w:val="00722FBA"/>
    <w:rsid w:val="00723139"/>
    <w:rsid w:val="0072367E"/>
    <w:rsid w:val="007237E8"/>
    <w:rsid w:val="00723929"/>
    <w:rsid w:val="00723C26"/>
    <w:rsid w:val="00724260"/>
    <w:rsid w:val="0072433B"/>
    <w:rsid w:val="007243C1"/>
    <w:rsid w:val="007243FB"/>
    <w:rsid w:val="0072445C"/>
    <w:rsid w:val="00724B08"/>
    <w:rsid w:val="00724DF6"/>
    <w:rsid w:val="007254F3"/>
    <w:rsid w:val="007259E5"/>
    <w:rsid w:val="00725A64"/>
    <w:rsid w:val="00725C30"/>
    <w:rsid w:val="00725E5D"/>
    <w:rsid w:val="0072615E"/>
    <w:rsid w:val="00726193"/>
    <w:rsid w:val="007266EF"/>
    <w:rsid w:val="00726AB8"/>
    <w:rsid w:val="00726B01"/>
    <w:rsid w:val="00726B94"/>
    <w:rsid w:val="0072776A"/>
    <w:rsid w:val="00727776"/>
    <w:rsid w:val="007277FE"/>
    <w:rsid w:val="00727809"/>
    <w:rsid w:val="00727D25"/>
    <w:rsid w:val="007300FA"/>
    <w:rsid w:val="0073023F"/>
    <w:rsid w:val="007304DD"/>
    <w:rsid w:val="0073055A"/>
    <w:rsid w:val="007305A1"/>
    <w:rsid w:val="007306B4"/>
    <w:rsid w:val="00730ADF"/>
    <w:rsid w:val="007310F2"/>
    <w:rsid w:val="007311EF"/>
    <w:rsid w:val="00731554"/>
    <w:rsid w:val="007316DF"/>
    <w:rsid w:val="007319B6"/>
    <w:rsid w:val="007320A6"/>
    <w:rsid w:val="00732E28"/>
    <w:rsid w:val="00733013"/>
    <w:rsid w:val="00733073"/>
    <w:rsid w:val="00733103"/>
    <w:rsid w:val="007331A5"/>
    <w:rsid w:val="00733227"/>
    <w:rsid w:val="00733345"/>
    <w:rsid w:val="00733407"/>
    <w:rsid w:val="00733865"/>
    <w:rsid w:val="00733ACF"/>
    <w:rsid w:val="00733D85"/>
    <w:rsid w:val="00734092"/>
    <w:rsid w:val="00734C90"/>
    <w:rsid w:val="0073584F"/>
    <w:rsid w:val="007358C0"/>
    <w:rsid w:val="007359D7"/>
    <w:rsid w:val="00735C01"/>
    <w:rsid w:val="00736CC2"/>
    <w:rsid w:val="00737577"/>
    <w:rsid w:val="007376FB"/>
    <w:rsid w:val="007378BA"/>
    <w:rsid w:val="007379AD"/>
    <w:rsid w:val="007379E9"/>
    <w:rsid w:val="00737E20"/>
    <w:rsid w:val="00740599"/>
    <w:rsid w:val="0074072A"/>
    <w:rsid w:val="007407DB"/>
    <w:rsid w:val="0074099F"/>
    <w:rsid w:val="00740A55"/>
    <w:rsid w:val="00740CAB"/>
    <w:rsid w:val="00740FB3"/>
    <w:rsid w:val="00741037"/>
    <w:rsid w:val="00741056"/>
    <w:rsid w:val="00741060"/>
    <w:rsid w:val="007410E5"/>
    <w:rsid w:val="0074126A"/>
    <w:rsid w:val="00741594"/>
    <w:rsid w:val="0074159D"/>
    <w:rsid w:val="00741714"/>
    <w:rsid w:val="00741815"/>
    <w:rsid w:val="007419DE"/>
    <w:rsid w:val="00742655"/>
    <w:rsid w:val="00742820"/>
    <w:rsid w:val="00742B21"/>
    <w:rsid w:val="00742E00"/>
    <w:rsid w:val="00742E70"/>
    <w:rsid w:val="00743065"/>
    <w:rsid w:val="007430F7"/>
    <w:rsid w:val="007433E0"/>
    <w:rsid w:val="0074377F"/>
    <w:rsid w:val="00743B11"/>
    <w:rsid w:val="00744523"/>
    <w:rsid w:val="007445D1"/>
    <w:rsid w:val="00744791"/>
    <w:rsid w:val="007448B7"/>
    <w:rsid w:val="00744F44"/>
    <w:rsid w:val="00745339"/>
    <w:rsid w:val="0074553B"/>
    <w:rsid w:val="007456A0"/>
    <w:rsid w:val="00745BDC"/>
    <w:rsid w:val="00745F32"/>
    <w:rsid w:val="007462BB"/>
    <w:rsid w:val="0074633C"/>
    <w:rsid w:val="007463E4"/>
    <w:rsid w:val="007464A1"/>
    <w:rsid w:val="00746629"/>
    <w:rsid w:val="00746695"/>
    <w:rsid w:val="00746768"/>
    <w:rsid w:val="00746818"/>
    <w:rsid w:val="00746886"/>
    <w:rsid w:val="007468E1"/>
    <w:rsid w:val="00746AC2"/>
    <w:rsid w:val="00746DAC"/>
    <w:rsid w:val="00747689"/>
    <w:rsid w:val="00747CE1"/>
    <w:rsid w:val="00747F1C"/>
    <w:rsid w:val="0075000C"/>
    <w:rsid w:val="007503B9"/>
    <w:rsid w:val="007505AA"/>
    <w:rsid w:val="007506E8"/>
    <w:rsid w:val="0075072D"/>
    <w:rsid w:val="007509BD"/>
    <w:rsid w:val="00750EDE"/>
    <w:rsid w:val="007519CB"/>
    <w:rsid w:val="00751C64"/>
    <w:rsid w:val="00752036"/>
    <w:rsid w:val="00752254"/>
    <w:rsid w:val="0075286F"/>
    <w:rsid w:val="007528D3"/>
    <w:rsid w:val="00752A0C"/>
    <w:rsid w:val="00752A61"/>
    <w:rsid w:val="00752AB8"/>
    <w:rsid w:val="0075308C"/>
    <w:rsid w:val="007530E4"/>
    <w:rsid w:val="00753453"/>
    <w:rsid w:val="00753615"/>
    <w:rsid w:val="0075384F"/>
    <w:rsid w:val="007538D1"/>
    <w:rsid w:val="00753A02"/>
    <w:rsid w:val="0075402D"/>
    <w:rsid w:val="00754097"/>
    <w:rsid w:val="0075410E"/>
    <w:rsid w:val="007542B6"/>
    <w:rsid w:val="007544FA"/>
    <w:rsid w:val="007551AC"/>
    <w:rsid w:val="00755405"/>
    <w:rsid w:val="007554B2"/>
    <w:rsid w:val="00755901"/>
    <w:rsid w:val="00755D2C"/>
    <w:rsid w:val="00755DF1"/>
    <w:rsid w:val="007563A8"/>
    <w:rsid w:val="0075670E"/>
    <w:rsid w:val="007568B4"/>
    <w:rsid w:val="00756EAC"/>
    <w:rsid w:val="00757445"/>
    <w:rsid w:val="007574AB"/>
    <w:rsid w:val="00757564"/>
    <w:rsid w:val="0075778E"/>
    <w:rsid w:val="00757B51"/>
    <w:rsid w:val="00757C63"/>
    <w:rsid w:val="0076006A"/>
    <w:rsid w:val="007602C9"/>
    <w:rsid w:val="00760344"/>
    <w:rsid w:val="00760578"/>
    <w:rsid w:val="00760880"/>
    <w:rsid w:val="00760922"/>
    <w:rsid w:val="00760CA7"/>
    <w:rsid w:val="007610A0"/>
    <w:rsid w:val="00761AD4"/>
    <w:rsid w:val="00761AD5"/>
    <w:rsid w:val="00761F36"/>
    <w:rsid w:val="00761FBC"/>
    <w:rsid w:val="00761FCD"/>
    <w:rsid w:val="00762154"/>
    <w:rsid w:val="0076235B"/>
    <w:rsid w:val="00762438"/>
    <w:rsid w:val="00762512"/>
    <w:rsid w:val="0076259A"/>
    <w:rsid w:val="0076293C"/>
    <w:rsid w:val="007629F2"/>
    <w:rsid w:val="00762A0E"/>
    <w:rsid w:val="007639DA"/>
    <w:rsid w:val="00763AE8"/>
    <w:rsid w:val="00763E11"/>
    <w:rsid w:val="007651D6"/>
    <w:rsid w:val="00765287"/>
    <w:rsid w:val="007652AA"/>
    <w:rsid w:val="0076538A"/>
    <w:rsid w:val="007653A5"/>
    <w:rsid w:val="00765492"/>
    <w:rsid w:val="007656E2"/>
    <w:rsid w:val="0076587E"/>
    <w:rsid w:val="00765963"/>
    <w:rsid w:val="007659A7"/>
    <w:rsid w:val="00765B5D"/>
    <w:rsid w:val="00765C91"/>
    <w:rsid w:val="00765C9F"/>
    <w:rsid w:val="00765D37"/>
    <w:rsid w:val="00765E29"/>
    <w:rsid w:val="00766154"/>
    <w:rsid w:val="007662E5"/>
    <w:rsid w:val="0076643F"/>
    <w:rsid w:val="00766BBC"/>
    <w:rsid w:val="00767008"/>
    <w:rsid w:val="00767050"/>
    <w:rsid w:val="00767079"/>
    <w:rsid w:val="007675BE"/>
    <w:rsid w:val="007678AB"/>
    <w:rsid w:val="007678C0"/>
    <w:rsid w:val="00767F66"/>
    <w:rsid w:val="007700E9"/>
    <w:rsid w:val="00770275"/>
    <w:rsid w:val="00770482"/>
    <w:rsid w:val="007704B1"/>
    <w:rsid w:val="00770FA2"/>
    <w:rsid w:val="00771308"/>
    <w:rsid w:val="0077130C"/>
    <w:rsid w:val="00771559"/>
    <w:rsid w:val="007717A0"/>
    <w:rsid w:val="0077185A"/>
    <w:rsid w:val="00771A94"/>
    <w:rsid w:val="00771E1E"/>
    <w:rsid w:val="007720AF"/>
    <w:rsid w:val="00772117"/>
    <w:rsid w:val="007721E3"/>
    <w:rsid w:val="007721F2"/>
    <w:rsid w:val="007721F8"/>
    <w:rsid w:val="007722C8"/>
    <w:rsid w:val="0077247B"/>
    <w:rsid w:val="007726E4"/>
    <w:rsid w:val="007728EA"/>
    <w:rsid w:val="00772B96"/>
    <w:rsid w:val="00772BC3"/>
    <w:rsid w:val="00772EE9"/>
    <w:rsid w:val="00773001"/>
    <w:rsid w:val="007731ED"/>
    <w:rsid w:val="007732F3"/>
    <w:rsid w:val="00773BC6"/>
    <w:rsid w:val="00773E86"/>
    <w:rsid w:val="00774029"/>
    <w:rsid w:val="00774388"/>
    <w:rsid w:val="00774684"/>
    <w:rsid w:val="00774723"/>
    <w:rsid w:val="00774B66"/>
    <w:rsid w:val="00774C5B"/>
    <w:rsid w:val="00774DEA"/>
    <w:rsid w:val="00774FB5"/>
    <w:rsid w:val="00774FD0"/>
    <w:rsid w:val="00775151"/>
    <w:rsid w:val="007751E2"/>
    <w:rsid w:val="007755FD"/>
    <w:rsid w:val="007756B1"/>
    <w:rsid w:val="007757D2"/>
    <w:rsid w:val="00775C1D"/>
    <w:rsid w:val="00776475"/>
    <w:rsid w:val="007764BF"/>
    <w:rsid w:val="00776885"/>
    <w:rsid w:val="007768F3"/>
    <w:rsid w:val="00776B4A"/>
    <w:rsid w:val="00776B60"/>
    <w:rsid w:val="00776BFA"/>
    <w:rsid w:val="00776D40"/>
    <w:rsid w:val="00776D92"/>
    <w:rsid w:val="00777081"/>
    <w:rsid w:val="00777130"/>
    <w:rsid w:val="007778C7"/>
    <w:rsid w:val="007778F6"/>
    <w:rsid w:val="007779A8"/>
    <w:rsid w:val="00777B8D"/>
    <w:rsid w:val="00777E07"/>
    <w:rsid w:val="00777EF6"/>
    <w:rsid w:val="00777F4C"/>
    <w:rsid w:val="0078010E"/>
    <w:rsid w:val="007806CB"/>
    <w:rsid w:val="00780B3C"/>
    <w:rsid w:val="007812E2"/>
    <w:rsid w:val="00781BFB"/>
    <w:rsid w:val="00781C31"/>
    <w:rsid w:val="00781E5B"/>
    <w:rsid w:val="00781F02"/>
    <w:rsid w:val="00782017"/>
    <w:rsid w:val="007821A3"/>
    <w:rsid w:val="00782246"/>
    <w:rsid w:val="007825A3"/>
    <w:rsid w:val="00782707"/>
    <w:rsid w:val="0078275B"/>
    <w:rsid w:val="00782D64"/>
    <w:rsid w:val="00782D88"/>
    <w:rsid w:val="00783003"/>
    <w:rsid w:val="007831B3"/>
    <w:rsid w:val="0078321C"/>
    <w:rsid w:val="00783551"/>
    <w:rsid w:val="00783B5C"/>
    <w:rsid w:val="00783C68"/>
    <w:rsid w:val="00783F0F"/>
    <w:rsid w:val="007840C1"/>
    <w:rsid w:val="00784304"/>
    <w:rsid w:val="00784342"/>
    <w:rsid w:val="00784407"/>
    <w:rsid w:val="00784899"/>
    <w:rsid w:val="00784982"/>
    <w:rsid w:val="007850A5"/>
    <w:rsid w:val="00785347"/>
    <w:rsid w:val="00785436"/>
    <w:rsid w:val="00785511"/>
    <w:rsid w:val="007856B4"/>
    <w:rsid w:val="0078572C"/>
    <w:rsid w:val="00785739"/>
    <w:rsid w:val="007858F5"/>
    <w:rsid w:val="00785CDB"/>
    <w:rsid w:val="00785E42"/>
    <w:rsid w:val="00785EA1"/>
    <w:rsid w:val="0078631A"/>
    <w:rsid w:val="0078669C"/>
    <w:rsid w:val="00786961"/>
    <w:rsid w:val="00786D0C"/>
    <w:rsid w:val="00786DF9"/>
    <w:rsid w:val="00786E69"/>
    <w:rsid w:val="00786EB8"/>
    <w:rsid w:val="00786FB4"/>
    <w:rsid w:val="00787114"/>
    <w:rsid w:val="00787164"/>
    <w:rsid w:val="00787190"/>
    <w:rsid w:val="007878AF"/>
    <w:rsid w:val="00787A30"/>
    <w:rsid w:val="00787D1B"/>
    <w:rsid w:val="00787EBD"/>
    <w:rsid w:val="007900DA"/>
    <w:rsid w:val="0079016A"/>
    <w:rsid w:val="0079017A"/>
    <w:rsid w:val="007905D4"/>
    <w:rsid w:val="007908AF"/>
    <w:rsid w:val="007908D3"/>
    <w:rsid w:val="00790A02"/>
    <w:rsid w:val="00790BFE"/>
    <w:rsid w:val="00791073"/>
    <w:rsid w:val="0079112F"/>
    <w:rsid w:val="007911CC"/>
    <w:rsid w:val="007914E5"/>
    <w:rsid w:val="007922F8"/>
    <w:rsid w:val="00792317"/>
    <w:rsid w:val="00792448"/>
    <w:rsid w:val="00792467"/>
    <w:rsid w:val="00792A99"/>
    <w:rsid w:val="00792CD6"/>
    <w:rsid w:val="007931BA"/>
    <w:rsid w:val="007932B3"/>
    <w:rsid w:val="00793483"/>
    <w:rsid w:val="0079368A"/>
    <w:rsid w:val="007936F3"/>
    <w:rsid w:val="007936F7"/>
    <w:rsid w:val="00793720"/>
    <w:rsid w:val="007937FE"/>
    <w:rsid w:val="0079442D"/>
    <w:rsid w:val="00794441"/>
    <w:rsid w:val="00794BD1"/>
    <w:rsid w:val="00795120"/>
    <w:rsid w:val="00795693"/>
    <w:rsid w:val="007956B8"/>
    <w:rsid w:val="007956CC"/>
    <w:rsid w:val="00795A72"/>
    <w:rsid w:val="00795B98"/>
    <w:rsid w:val="00795DCB"/>
    <w:rsid w:val="00795E88"/>
    <w:rsid w:val="00795FA8"/>
    <w:rsid w:val="00796155"/>
    <w:rsid w:val="007961C0"/>
    <w:rsid w:val="00796522"/>
    <w:rsid w:val="00796C1E"/>
    <w:rsid w:val="00796D38"/>
    <w:rsid w:val="007971BF"/>
    <w:rsid w:val="00797506"/>
    <w:rsid w:val="0079754D"/>
    <w:rsid w:val="0079761C"/>
    <w:rsid w:val="00797639"/>
    <w:rsid w:val="00797693"/>
    <w:rsid w:val="00797A9A"/>
    <w:rsid w:val="00797D98"/>
    <w:rsid w:val="007A06A1"/>
    <w:rsid w:val="007A082D"/>
    <w:rsid w:val="007A0CAA"/>
    <w:rsid w:val="007A0E43"/>
    <w:rsid w:val="007A1260"/>
    <w:rsid w:val="007A1368"/>
    <w:rsid w:val="007A156F"/>
    <w:rsid w:val="007A188F"/>
    <w:rsid w:val="007A1BAB"/>
    <w:rsid w:val="007A1C7F"/>
    <w:rsid w:val="007A2201"/>
    <w:rsid w:val="007A2564"/>
    <w:rsid w:val="007A2628"/>
    <w:rsid w:val="007A26ED"/>
    <w:rsid w:val="007A2DBA"/>
    <w:rsid w:val="007A2E36"/>
    <w:rsid w:val="007A3420"/>
    <w:rsid w:val="007A354E"/>
    <w:rsid w:val="007A35D5"/>
    <w:rsid w:val="007A3AC7"/>
    <w:rsid w:val="007A3F35"/>
    <w:rsid w:val="007A4060"/>
    <w:rsid w:val="007A4492"/>
    <w:rsid w:val="007A44B2"/>
    <w:rsid w:val="007A44E7"/>
    <w:rsid w:val="007A45F5"/>
    <w:rsid w:val="007A4984"/>
    <w:rsid w:val="007A4999"/>
    <w:rsid w:val="007A4C7E"/>
    <w:rsid w:val="007A4CD1"/>
    <w:rsid w:val="007A4D02"/>
    <w:rsid w:val="007A4E7B"/>
    <w:rsid w:val="007A5012"/>
    <w:rsid w:val="007A51E3"/>
    <w:rsid w:val="007A539F"/>
    <w:rsid w:val="007A5528"/>
    <w:rsid w:val="007A5538"/>
    <w:rsid w:val="007A5A12"/>
    <w:rsid w:val="007A5A68"/>
    <w:rsid w:val="007A5B2B"/>
    <w:rsid w:val="007A5D89"/>
    <w:rsid w:val="007A5DC7"/>
    <w:rsid w:val="007A5FA4"/>
    <w:rsid w:val="007A61E4"/>
    <w:rsid w:val="007A6351"/>
    <w:rsid w:val="007A63BF"/>
    <w:rsid w:val="007A6491"/>
    <w:rsid w:val="007A6D48"/>
    <w:rsid w:val="007A6E4C"/>
    <w:rsid w:val="007A70DE"/>
    <w:rsid w:val="007A7186"/>
    <w:rsid w:val="007A725A"/>
    <w:rsid w:val="007A76A0"/>
    <w:rsid w:val="007A7751"/>
    <w:rsid w:val="007A7857"/>
    <w:rsid w:val="007A7B0E"/>
    <w:rsid w:val="007A7B60"/>
    <w:rsid w:val="007B0182"/>
    <w:rsid w:val="007B04A7"/>
    <w:rsid w:val="007B0667"/>
    <w:rsid w:val="007B09B8"/>
    <w:rsid w:val="007B0AC1"/>
    <w:rsid w:val="007B0B0A"/>
    <w:rsid w:val="007B0F35"/>
    <w:rsid w:val="007B135F"/>
    <w:rsid w:val="007B15AF"/>
    <w:rsid w:val="007B15FA"/>
    <w:rsid w:val="007B167B"/>
    <w:rsid w:val="007B16B7"/>
    <w:rsid w:val="007B1A94"/>
    <w:rsid w:val="007B1C93"/>
    <w:rsid w:val="007B2187"/>
    <w:rsid w:val="007B2209"/>
    <w:rsid w:val="007B2463"/>
    <w:rsid w:val="007B275C"/>
    <w:rsid w:val="007B3022"/>
    <w:rsid w:val="007B30C6"/>
    <w:rsid w:val="007B3116"/>
    <w:rsid w:val="007B32F9"/>
    <w:rsid w:val="007B3408"/>
    <w:rsid w:val="007B35B6"/>
    <w:rsid w:val="007B37F5"/>
    <w:rsid w:val="007B3B25"/>
    <w:rsid w:val="007B3EB2"/>
    <w:rsid w:val="007B4325"/>
    <w:rsid w:val="007B440A"/>
    <w:rsid w:val="007B4427"/>
    <w:rsid w:val="007B446A"/>
    <w:rsid w:val="007B4755"/>
    <w:rsid w:val="007B4852"/>
    <w:rsid w:val="007B49F3"/>
    <w:rsid w:val="007B4A33"/>
    <w:rsid w:val="007B4C00"/>
    <w:rsid w:val="007B4DF7"/>
    <w:rsid w:val="007B512A"/>
    <w:rsid w:val="007B5177"/>
    <w:rsid w:val="007B5649"/>
    <w:rsid w:val="007B5967"/>
    <w:rsid w:val="007B5C8F"/>
    <w:rsid w:val="007B5CF5"/>
    <w:rsid w:val="007B5DA7"/>
    <w:rsid w:val="007B6720"/>
    <w:rsid w:val="007B697D"/>
    <w:rsid w:val="007B6FBF"/>
    <w:rsid w:val="007B7116"/>
    <w:rsid w:val="007B7148"/>
    <w:rsid w:val="007B72D4"/>
    <w:rsid w:val="007B736F"/>
    <w:rsid w:val="007B744C"/>
    <w:rsid w:val="007B74F1"/>
    <w:rsid w:val="007B7C8D"/>
    <w:rsid w:val="007B7DF2"/>
    <w:rsid w:val="007B7E5D"/>
    <w:rsid w:val="007C04EF"/>
    <w:rsid w:val="007C06BD"/>
    <w:rsid w:val="007C12AC"/>
    <w:rsid w:val="007C1493"/>
    <w:rsid w:val="007C1ABF"/>
    <w:rsid w:val="007C2045"/>
    <w:rsid w:val="007C2057"/>
    <w:rsid w:val="007C2115"/>
    <w:rsid w:val="007C226C"/>
    <w:rsid w:val="007C28A3"/>
    <w:rsid w:val="007C2A6E"/>
    <w:rsid w:val="007C2C06"/>
    <w:rsid w:val="007C30C4"/>
    <w:rsid w:val="007C30E2"/>
    <w:rsid w:val="007C31E4"/>
    <w:rsid w:val="007C33FB"/>
    <w:rsid w:val="007C377C"/>
    <w:rsid w:val="007C38E3"/>
    <w:rsid w:val="007C3970"/>
    <w:rsid w:val="007C3A0B"/>
    <w:rsid w:val="007C3B30"/>
    <w:rsid w:val="007C3C97"/>
    <w:rsid w:val="007C3D26"/>
    <w:rsid w:val="007C414A"/>
    <w:rsid w:val="007C4231"/>
    <w:rsid w:val="007C42CD"/>
    <w:rsid w:val="007C4725"/>
    <w:rsid w:val="007C4A11"/>
    <w:rsid w:val="007C4A9E"/>
    <w:rsid w:val="007C4AA8"/>
    <w:rsid w:val="007C4AC7"/>
    <w:rsid w:val="007C4C1A"/>
    <w:rsid w:val="007C4DE5"/>
    <w:rsid w:val="007C4F01"/>
    <w:rsid w:val="007C4F48"/>
    <w:rsid w:val="007C508A"/>
    <w:rsid w:val="007C50C2"/>
    <w:rsid w:val="007C552F"/>
    <w:rsid w:val="007C6802"/>
    <w:rsid w:val="007C6817"/>
    <w:rsid w:val="007C68D8"/>
    <w:rsid w:val="007C6904"/>
    <w:rsid w:val="007C6ADB"/>
    <w:rsid w:val="007C6B55"/>
    <w:rsid w:val="007C6B99"/>
    <w:rsid w:val="007C722F"/>
    <w:rsid w:val="007C774A"/>
    <w:rsid w:val="007C7B6E"/>
    <w:rsid w:val="007C7DB3"/>
    <w:rsid w:val="007D004F"/>
    <w:rsid w:val="007D083E"/>
    <w:rsid w:val="007D08B0"/>
    <w:rsid w:val="007D09A5"/>
    <w:rsid w:val="007D0EA4"/>
    <w:rsid w:val="007D10FB"/>
    <w:rsid w:val="007D1453"/>
    <w:rsid w:val="007D16E8"/>
    <w:rsid w:val="007D180C"/>
    <w:rsid w:val="007D1DDF"/>
    <w:rsid w:val="007D1F62"/>
    <w:rsid w:val="007D2456"/>
    <w:rsid w:val="007D25E8"/>
    <w:rsid w:val="007D2AEA"/>
    <w:rsid w:val="007D2CFE"/>
    <w:rsid w:val="007D3053"/>
    <w:rsid w:val="007D305C"/>
    <w:rsid w:val="007D323B"/>
    <w:rsid w:val="007D36F1"/>
    <w:rsid w:val="007D37FE"/>
    <w:rsid w:val="007D4163"/>
    <w:rsid w:val="007D442A"/>
    <w:rsid w:val="007D4696"/>
    <w:rsid w:val="007D4827"/>
    <w:rsid w:val="007D4DEC"/>
    <w:rsid w:val="007D505A"/>
    <w:rsid w:val="007D54F5"/>
    <w:rsid w:val="007D553F"/>
    <w:rsid w:val="007D588F"/>
    <w:rsid w:val="007D5AF1"/>
    <w:rsid w:val="007D5BC6"/>
    <w:rsid w:val="007D5CB7"/>
    <w:rsid w:val="007D5E0A"/>
    <w:rsid w:val="007D5EF8"/>
    <w:rsid w:val="007D6499"/>
    <w:rsid w:val="007D64D9"/>
    <w:rsid w:val="007D6657"/>
    <w:rsid w:val="007D6678"/>
    <w:rsid w:val="007D6765"/>
    <w:rsid w:val="007D6BB2"/>
    <w:rsid w:val="007D6C1E"/>
    <w:rsid w:val="007D7072"/>
    <w:rsid w:val="007D72BB"/>
    <w:rsid w:val="007D76E8"/>
    <w:rsid w:val="007D7731"/>
    <w:rsid w:val="007E06D6"/>
    <w:rsid w:val="007E0862"/>
    <w:rsid w:val="007E0ECE"/>
    <w:rsid w:val="007E0F26"/>
    <w:rsid w:val="007E1640"/>
    <w:rsid w:val="007E186C"/>
    <w:rsid w:val="007E20F4"/>
    <w:rsid w:val="007E2205"/>
    <w:rsid w:val="007E2426"/>
    <w:rsid w:val="007E2429"/>
    <w:rsid w:val="007E2488"/>
    <w:rsid w:val="007E25D8"/>
    <w:rsid w:val="007E26B4"/>
    <w:rsid w:val="007E26D2"/>
    <w:rsid w:val="007E29BC"/>
    <w:rsid w:val="007E2F0F"/>
    <w:rsid w:val="007E2F4E"/>
    <w:rsid w:val="007E320D"/>
    <w:rsid w:val="007E34C1"/>
    <w:rsid w:val="007E3600"/>
    <w:rsid w:val="007E394E"/>
    <w:rsid w:val="007E3958"/>
    <w:rsid w:val="007E3976"/>
    <w:rsid w:val="007E3B8F"/>
    <w:rsid w:val="007E3C43"/>
    <w:rsid w:val="007E3DF0"/>
    <w:rsid w:val="007E4609"/>
    <w:rsid w:val="007E4732"/>
    <w:rsid w:val="007E4B12"/>
    <w:rsid w:val="007E54A1"/>
    <w:rsid w:val="007E5688"/>
    <w:rsid w:val="007E6913"/>
    <w:rsid w:val="007E6B36"/>
    <w:rsid w:val="007E6DF3"/>
    <w:rsid w:val="007E734E"/>
    <w:rsid w:val="007E739C"/>
    <w:rsid w:val="007E7431"/>
    <w:rsid w:val="007E7604"/>
    <w:rsid w:val="007E7DB1"/>
    <w:rsid w:val="007E7EF6"/>
    <w:rsid w:val="007E7F97"/>
    <w:rsid w:val="007E7FB5"/>
    <w:rsid w:val="007E7FB6"/>
    <w:rsid w:val="007F0027"/>
    <w:rsid w:val="007F09BF"/>
    <w:rsid w:val="007F0AFF"/>
    <w:rsid w:val="007F0D30"/>
    <w:rsid w:val="007F0E6B"/>
    <w:rsid w:val="007F0FBE"/>
    <w:rsid w:val="007F0FFD"/>
    <w:rsid w:val="007F11E8"/>
    <w:rsid w:val="007F12FC"/>
    <w:rsid w:val="007F1438"/>
    <w:rsid w:val="007F1746"/>
    <w:rsid w:val="007F1803"/>
    <w:rsid w:val="007F2650"/>
    <w:rsid w:val="007F2759"/>
    <w:rsid w:val="007F2BA1"/>
    <w:rsid w:val="007F320E"/>
    <w:rsid w:val="007F3302"/>
    <w:rsid w:val="007F3766"/>
    <w:rsid w:val="007F3959"/>
    <w:rsid w:val="007F3AB8"/>
    <w:rsid w:val="007F3AF3"/>
    <w:rsid w:val="007F3D29"/>
    <w:rsid w:val="007F3E33"/>
    <w:rsid w:val="007F3E6D"/>
    <w:rsid w:val="007F3E99"/>
    <w:rsid w:val="007F430F"/>
    <w:rsid w:val="007F459F"/>
    <w:rsid w:val="007F4784"/>
    <w:rsid w:val="007F4A33"/>
    <w:rsid w:val="007F4B36"/>
    <w:rsid w:val="007F4B7C"/>
    <w:rsid w:val="007F4E74"/>
    <w:rsid w:val="007F4FC5"/>
    <w:rsid w:val="007F53FC"/>
    <w:rsid w:val="007F5B9E"/>
    <w:rsid w:val="007F5E82"/>
    <w:rsid w:val="007F5F91"/>
    <w:rsid w:val="007F6131"/>
    <w:rsid w:val="007F62AC"/>
    <w:rsid w:val="007F63FD"/>
    <w:rsid w:val="007F650B"/>
    <w:rsid w:val="007F6571"/>
    <w:rsid w:val="007F6591"/>
    <w:rsid w:val="007F6D6B"/>
    <w:rsid w:val="007F6DF5"/>
    <w:rsid w:val="007F6E84"/>
    <w:rsid w:val="007F707F"/>
    <w:rsid w:val="007F749D"/>
    <w:rsid w:val="007F750E"/>
    <w:rsid w:val="007F7A8D"/>
    <w:rsid w:val="007F7ACC"/>
    <w:rsid w:val="007F7C7C"/>
    <w:rsid w:val="007F7CC4"/>
    <w:rsid w:val="007F7DB3"/>
    <w:rsid w:val="00800518"/>
    <w:rsid w:val="008005EB"/>
    <w:rsid w:val="0080090E"/>
    <w:rsid w:val="00800CD9"/>
    <w:rsid w:val="00800F4F"/>
    <w:rsid w:val="00801ABA"/>
    <w:rsid w:val="00801B02"/>
    <w:rsid w:val="00801B60"/>
    <w:rsid w:val="00801D85"/>
    <w:rsid w:val="00801E46"/>
    <w:rsid w:val="00802086"/>
    <w:rsid w:val="008027D2"/>
    <w:rsid w:val="00802A08"/>
    <w:rsid w:val="00803155"/>
    <w:rsid w:val="00803820"/>
    <w:rsid w:val="00803910"/>
    <w:rsid w:val="00803C77"/>
    <w:rsid w:val="00803E87"/>
    <w:rsid w:val="00804008"/>
    <w:rsid w:val="008044B5"/>
    <w:rsid w:val="0080487B"/>
    <w:rsid w:val="00804A7D"/>
    <w:rsid w:val="008050A0"/>
    <w:rsid w:val="00805611"/>
    <w:rsid w:val="00805859"/>
    <w:rsid w:val="00805BD7"/>
    <w:rsid w:val="00805FA8"/>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57E"/>
    <w:rsid w:val="008106CD"/>
    <w:rsid w:val="0081075B"/>
    <w:rsid w:val="00810B9F"/>
    <w:rsid w:val="00810CCB"/>
    <w:rsid w:val="00810DC4"/>
    <w:rsid w:val="008115FC"/>
    <w:rsid w:val="008117CD"/>
    <w:rsid w:val="00811979"/>
    <w:rsid w:val="008119D8"/>
    <w:rsid w:val="00811A46"/>
    <w:rsid w:val="00811A55"/>
    <w:rsid w:val="00811C31"/>
    <w:rsid w:val="00811C51"/>
    <w:rsid w:val="00811EB2"/>
    <w:rsid w:val="00811F00"/>
    <w:rsid w:val="00811FC9"/>
    <w:rsid w:val="0081272D"/>
    <w:rsid w:val="00812841"/>
    <w:rsid w:val="008129E3"/>
    <w:rsid w:val="00812D17"/>
    <w:rsid w:val="00812F4D"/>
    <w:rsid w:val="00812F62"/>
    <w:rsid w:val="00812F71"/>
    <w:rsid w:val="00813597"/>
    <w:rsid w:val="00813931"/>
    <w:rsid w:val="008139A5"/>
    <w:rsid w:val="00813ABD"/>
    <w:rsid w:val="00813FF6"/>
    <w:rsid w:val="00814156"/>
    <w:rsid w:val="00814242"/>
    <w:rsid w:val="00814253"/>
    <w:rsid w:val="0081430C"/>
    <w:rsid w:val="00814378"/>
    <w:rsid w:val="00814511"/>
    <w:rsid w:val="00814910"/>
    <w:rsid w:val="00814922"/>
    <w:rsid w:val="008149BF"/>
    <w:rsid w:val="00815E87"/>
    <w:rsid w:val="0081628F"/>
    <w:rsid w:val="008162F5"/>
    <w:rsid w:val="00816659"/>
    <w:rsid w:val="00816A04"/>
    <w:rsid w:val="00816AA1"/>
    <w:rsid w:val="00816B01"/>
    <w:rsid w:val="00816BC5"/>
    <w:rsid w:val="00816C08"/>
    <w:rsid w:val="00816C88"/>
    <w:rsid w:val="00816E61"/>
    <w:rsid w:val="00816F13"/>
    <w:rsid w:val="00816F8F"/>
    <w:rsid w:val="00817094"/>
    <w:rsid w:val="008175CB"/>
    <w:rsid w:val="0081773D"/>
    <w:rsid w:val="00817AB8"/>
    <w:rsid w:val="00817E59"/>
    <w:rsid w:val="008204D1"/>
    <w:rsid w:val="008207C9"/>
    <w:rsid w:val="00820861"/>
    <w:rsid w:val="00820AB0"/>
    <w:rsid w:val="00820D40"/>
    <w:rsid w:val="00820FD5"/>
    <w:rsid w:val="0082158C"/>
    <w:rsid w:val="00821799"/>
    <w:rsid w:val="00821832"/>
    <w:rsid w:val="00821CAD"/>
    <w:rsid w:val="00821D6C"/>
    <w:rsid w:val="0082206F"/>
    <w:rsid w:val="008220FE"/>
    <w:rsid w:val="0082256D"/>
    <w:rsid w:val="008225EB"/>
    <w:rsid w:val="00822A9F"/>
    <w:rsid w:val="00822BCD"/>
    <w:rsid w:val="00822C89"/>
    <w:rsid w:val="00822DA2"/>
    <w:rsid w:val="00822DBA"/>
    <w:rsid w:val="00822E9B"/>
    <w:rsid w:val="00822F4C"/>
    <w:rsid w:val="00822F59"/>
    <w:rsid w:val="0082326C"/>
    <w:rsid w:val="00823428"/>
    <w:rsid w:val="008236A1"/>
    <w:rsid w:val="00823835"/>
    <w:rsid w:val="00823847"/>
    <w:rsid w:val="00823C44"/>
    <w:rsid w:val="00823D2B"/>
    <w:rsid w:val="00824349"/>
    <w:rsid w:val="008243D0"/>
    <w:rsid w:val="00824613"/>
    <w:rsid w:val="0082464E"/>
    <w:rsid w:val="0082473B"/>
    <w:rsid w:val="00824BA1"/>
    <w:rsid w:val="008250D6"/>
    <w:rsid w:val="00825247"/>
    <w:rsid w:val="008256A8"/>
    <w:rsid w:val="0082587F"/>
    <w:rsid w:val="008258B3"/>
    <w:rsid w:val="00825BC3"/>
    <w:rsid w:val="00825BD6"/>
    <w:rsid w:val="00825C3F"/>
    <w:rsid w:val="00826226"/>
    <w:rsid w:val="0082629B"/>
    <w:rsid w:val="008263B0"/>
    <w:rsid w:val="008266E9"/>
    <w:rsid w:val="0082675E"/>
    <w:rsid w:val="00826975"/>
    <w:rsid w:val="00826BDE"/>
    <w:rsid w:val="00826DBC"/>
    <w:rsid w:val="00827178"/>
    <w:rsid w:val="00827560"/>
    <w:rsid w:val="008275C8"/>
    <w:rsid w:val="008277F2"/>
    <w:rsid w:val="00827999"/>
    <w:rsid w:val="00827AA5"/>
    <w:rsid w:val="00827BE8"/>
    <w:rsid w:val="00827CE9"/>
    <w:rsid w:val="008300C5"/>
    <w:rsid w:val="0083013E"/>
    <w:rsid w:val="008301B5"/>
    <w:rsid w:val="0083056C"/>
    <w:rsid w:val="0083078B"/>
    <w:rsid w:val="00830928"/>
    <w:rsid w:val="00830B22"/>
    <w:rsid w:val="00831166"/>
    <w:rsid w:val="0083129F"/>
    <w:rsid w:val="00831449"/>
    <w:rsid w:val="008314E8"/>
    <w:rsid w:val="008316E1"/>
    <w:rsid w:val="008318E1"/>
    <w:rsid w:val="00831A5C"/>
    <w:rsid w:val="00831BAB"/>
    <w:rsid w:val="00831BD4"/>
    <w:rsid w:val="00831D70"/>
    <w:rsid w:val="00831FFC"/>
    <w:rsid w:val="0083243E"/>
    <w:rsid w:val="0083245A"/>
    <w:rsid w:val="008327A4"/>
    <w:rsid w:val="00832852"/>
    <w:rsid w:val="008329A4"/>
    <w:rsid w:val="00832C0D"/>
    <w:rsid w:val="00832EE8"/>
    <w:rsid w:val="0083301E"/>
    <w:rsid w:val="0083302C"/>
    <w:rsid w:val="00833076"/>
    <w:rsid w:val="0083398B"/>
    <w:rsid w:val="00833C0B"/>
    <w:rsid w:val="00833C83"/>
    <w:rsid w:val="00833C89"/>
    <w:rsid w:val="00833EBE"/>
    <w:rsid w:val="00833FC7"/>
    <w:rsid w:val="008341DD"/>
    <w:rsid w:val="00834247"/>
    <w:rsid w:val="00834319"/>
    <w:rsid w:val="00834637"/>
    <w:rsid w:val="0083473E"/>
    <w:rsid w:val="00834920"/>
    <w:rsid w:val="00834A46"/>
    <w:rsid w:val="00834B18"/>
    <w:rsid w:val="0083513A"/>
    <w:rsid w:val="008351FA"/>
    <w:rsid w:val="00835204"/>
    <w:rsid w:val="008354F6"/>
    <w:rsid w:val="0083567C"/>
    <w:rsid w:val="0083568C"/>
    <w:rsid w:val="008356AD"/>
    <w:rsid w:val="00835A75"/>
    <w:rsid w:val="00835B5B"/>
    <w:rsid w:val="00836025"/>
    <w:rsid w:val="0083606D"/>
    <w:rsid w:val="008360C3"/>
    <w:rsid w:val="00836511"/>
    <w:rsid w:val="0083686F"/>
    <w:rsid w:val="00836974"/>
    <w:rsid w:val="00836E8A"/>
    <w:rsid w:val="00836EB9"/>
    <w:rsid w:val="0083732A"/>
    <w:rsid w:val="008374CB"/>
    <w:rsid w:val="00837C20"/>
    <w:rsid w:val="00837C7A"/>
    <w:rsid w:val="00837EEB"/>
    <w:rsid w:val="00840138"/>
    <w:rsid w:val="00840511"/>
    <w:rsid w:val="0084072E"/>
    <w:rsid w:val="0084095B"/>
    <w:rsid w:val="00840964"/>
    <w:rsid w:val="00840B09"/>
    <w:rsid w:val="00840B75"/>
    <w:rsid w:val="00840F7A"/>
    <w:rsid w:val="00842038"/>
    <w:rsid w:val="00842139"/>
    <w:rsid w:val="008421D3"/>
    <w:rsid w:val="00842486"/>
    <w:rsid w:val="0084258F"/>
    <w:rsid w:val="00842658"/>
    <w:rsid w:val="0084279E"/>
    <w:rsid w:val="00842F5B"/>
    <w:rsid w:val="008433FF"/>
    <w:rsid w:val="008439BE"/>
    <w:rsid w:val="00843B67"/>
    <w:rsid w:val="00843BB4"/>
    <w:rsid w:val="00843EF7"/>
    <w:rsid w:val="00844185"/>
    <w:rsid w:val="0084422A"/>
    <w:rsid w:val="0084454C"/>
    <w:rsid w:val="00845333"/>
    <w:rsid w:val="008458CE"/>
    <w:rsid w:val="00845E0F"/>
    <w:rsid w:val="008467ED"/>
    <w:rsid w:val="00846B91"/>
    <w:rsid w:val="00847222"/>
    <w:rsid w:val="00847343"/>
    <w:rsid w:val="00847350"/>
    <w:rsid w:val="00847504"/>
    <w:rsid w:val="00847582"/>
    <w:rsid w:val="00847730"/>
    <w:rsid w:val="00847770"/>
    <w:rsid w:val="00847860"/>
    <w:rsid w:val="00847B43"/>
    <w:rsid w:val="00847D7E"/>
    <w:rsid w:val="00847EFC"/>
    <w:rsid w:val="00850031"/>
    <w:rsid w:val="00850658"/>
    <w:rsid w:val="00850708"/>
    <w:rsid w:val="00850787"/>
    <w:rsid w:val="008507A2"/>
    <w:rsid w:val="00850DA0"/>
    <w:rsid w:val="00851203"/>
    <w:rsid w:val="00851623"/>
    <w:rsid w:val="00851638"/>
    <w:rsid w:val="008520ED"/>
    <w:rsid w:val="0085212E"/>
    <w:rsid w:val="0085257D"/>
    <w:rsid w:val="008525BE"/>
    <w:rsid w:val="008528F4"/>
    <w:rsid w:val="008534EE"/>
    <w:rsid w:val="0085354A"/>
    <w:rsid w:val="008537FC"/>
    <w:rsid w:val="00853835"/>
    <w:rsid w:val="00854856"/>
    <w:rsid w:val="008548DC"/>
    <w:rsid w:val="00854CD8"/>
    <w:rsid w:val="00855196"/>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C9E"/>
    <w:rsid w:val="00856E78"/>
    <w:rsid w:val="008571AE"/>
    <w:rsid w:val="008575FC"/>
    <w:rsid w:val="00857638"/>
    <w:rsid w:val="008576A7"/>
    <w:rsid w:val="00857C0F"/>
    <w:rsid w:val="00857C23"/>
    <w:rsid w:val="00857D4C"/>
    <w:rsid w:val="00857F0D"/>
    <w:rsid w:val="008600C2"/>
    <w:rsid w:val="008603DA"/>
    <w:rsid w:val="00860497"/>
    <w:rsid w:val="00860FD3"/>
    <w:rsid w:val="00861543"/>
    <w:rsid w:val="008616B9"/>
    <w:rsid w:val="008616E2"/>
    <w:rsid w:val="008622AC"/>
    <w:rsid w:val="00862373"/>
    <w:rsid w:val="008626D5"/>
    <w:rsid w:val="0086280D"/>
    <w:rsid w:val="00862B31"/>
    <w:rsid w:val="008634B8"/>
    <w:rsid w:val="0086373B"/>
    <w:rsid w:val="008638D8"/>
    <w:rsid w:val="00863A13"/>
    <w:rsid w:val="0086449F"/>
    <w:rsid w:val="0086491B"/>
    <w:rsid w:val="00864A56"/>
    <w:rsid w:val="00864B1A"/>
    <w:rsid w:val="00865AED"/>
    <w:rsid w:val="00865BD2"/>
    <w:rsid w:val="00865D1D"/>
    <w:rsid w:val="00865EFB"/>
    <w:rsid w:val="00866589"/>
    <w:rsid w:val="00866B53"/>
    <w:rsid w:val="00866D9A"/>
    <w:rsid w:val="008670DA"/>
    <w:rsid w:val="008671CE"/>
    <w:rsid w:val="008671FB"/>
    <w:rsid w:val="00867257"/>
    <w:rsid w:val="0086782E"/>
    <w:rsid w:val="0086790E"/>
    <w:rsid w:val="00870203"/>
    <w:rsid w:val="00870218"/>
    <w:rsid w:val="0087047D"/>
    <w:rsid w:val="008708E6"/>
    <w:rsid w:val="008708FA"/>
    <w:rsid w:val="0087091B"/>
    <w:rsid w:val="0087092F"/>
    <w:rsid w:val="00870AE2"/>
    <w:rsid w:val="00870BFC"/>
    <w:rsid w:val="00870D70"/>
    <w:rsid w:val="00870EEA"/>
    <w:rsid w:val="00870F3C"/>
    <w:rsid w:val="00871033"/>
    <w:rsid w:val="008711D2"/>
    <w:rsid w:val="0087144F"/>
    <w:rsid w:val="00871681"/>
    <w:rsid w:val="00871682"/>
    <w:rsid w:val="008717D8"/>
    <w:rsid w:val="00871821"/>
    <w:rsid w:val="008719C3"/>
    <w:rsid w:val="00871F80"/>
    <w:rsid w:val="00872151"/>
    <w:rsid w:val="008722F6"/>
    <w:rsid w:val="00872318"/>
    <w:rsid w:val="00872322"/>
    <w:rsid w:val="00872363"/>
    <w:rsid w:val="00872658"/>
    <w:rsid w:val="008728B2"/>
    <w:rsid w:val="00872911"/>
    <w:rsid w:val="00872C69"/>
    <w:rsid w:val="00872E32"/>
    <w:rsid w:val="00872EE9"/>
    <w:rsid w:val="00872F82"/>
    <w:rsid w:val="00873253"/>
    <w:rsid w:val="00873341"/>
    <w:rsid w:val="008733C5"/>
    <w:rsid w:val="0087350A"/>
    <w:rsid w:val="0087364B"/>
    <w:rsid w:val="0087376F"/>
    <w:rsid w:val="00873AA0"/>
    <w:rsid w:val="00873E92"/>
    <w:rsid w:val="00874864"/>
    <w:rsid w:val="008749FD"/>
    <w:rsid w:val="00874B05"/>
    <w:rsid w:val="00874E26"/>
    <w:rsid w:val="00874ECF"/>
    <w:rsid w:val="008756ED"/>
    <w:rsid w:val="0087594E"/>
    <w:rsid w:val="00875F95"/>
    <w:rsid w:val="008762CC"/>
    <w:rsid w:val="008769A5"/>
    <w:rsid w:val="00876C63"/>
    <w:rsid w:val="00876D09"/>
    <w:rsid w:val="00876D44"/>
    <w:rsid w:val="00876ED5"/>
    <w:rsid w:val="0087715A"/>
    <w:rsid w:val="008771CA"/>
    <w:rsid w:val="0087737D"/>
    <w:rsid w:val="00877386"/>
    <w:rsid w:val="0087740D"/>
    <w:rsid w:val="008777B8"/>
    <w:rsid w:val="00877CBB"/>
    <w:rsid w:val="00877D64"/>
    <w:rsid w:val="00877DC6"/>
    <w:rsid w:val="008809A6"/>
    <w:rsid w:val="00880D5B"/>
    <w:rsid w:val="00881786"/>
    <w:rsid w:val="008817AD"/>
    <w:rsid w:val="0088193D"/>
    <w:rsid w:val="00881A9B"/>
    <w:rsid w:val="00881BC8"/>
    <w:rsid w:val="00882377"/>
    <w:rsid w:val="008823AB"/>
    <w:rsid w:val="0088264B"/>
    <w:rsid w:val="0088289F"/>
    <w:rsid w:val="00882D01"/>
    <w:rsid w:val="00882E54"/>
    <w:rsid w:val="00882E83"/>
    <w:rsid w:val="008835DA"/>
    <w:rsid w:val="00883871"/>
    <w:rsid w:val="008838A3"/>
    <w:rsid w:val="008838A8"/>
    <w:rsid w:val="008841B9"/>
    <w:rsid w:val="0088443A"/>
    <w:rsid w:val="008845C5"/>
    <w:rsid w:val="00884CFB"/>
    <w:rsid w:val="00884DB8"/>
    <w:rsid w:val="00884DD9"/>
    <w:rsid w:val="00884E52"/>
    <w:rsid w:val="0088514D"/>
    <w:rsid w:val="008851E6"/>
    <w:rsid w:val="008853E4"/>
    <w:rsid w:val="00885747"/>
    <w:rsid w:val="008859DC"/>
    <w:rsid w:val="00885B07"/>
    <w:rsid w:val="00885C91"/>
    <w:rsid w:val="00885E31"/>
    <w:rsid w:val="00885EC9"/>
    <w:rsid w:val="00886049"/>
    <w:rsid w:val="008860AE"/>
    <w:rsid w:val="008860B9"/>
    <w:rsid w:val="008861F0"/>
    <w:rsid w:val="00886412"/>
    <w:rsid w:val="00886538"/>
    <w:rsid w:val="0088665C"/>
    <w:rsid w:val="00886972"/>
    <w:rsid w:val="00886A24"/>
    <w:rsid w:val="00886E96"/>
    <w:rsid w:val="0088721D"/>
    <w:rsid w:val="00887B7D"/>
    <w:rsid w:val="00887CD8"/>
    <w:rsid w:val="00887F56"/>
    <w:rsid w:val="00890007"/>
    <w:rsid w:val="00890602"/>
    <w:rsid w:val="008908BB"/>
    <w:rsid w:val="00890994"/>
    <w:rsid w:val="00890B2A"/>
    <w:rsid w:val="00890B77"/>
    <w:rsid w:val="00890BEB"/>
    <w:rsid w:val="00890C7C"/>
    <w:rsid w:val="00890CB8"/>
    <w:rsid w:val="00890D14"/>
    <w:rsid w:val="00890D80"/>
    <w:rsid w:val="00890DE8"/>
    <w:rsid w:val="00890EF1"/>
    <w:rsid w:val="00890F8C"/>
    <w:rsid w:val="0089138C"/>
    <w:rsid w:val="008913CD"/>
    <w:rsid w:val="0089167A"/>
    <w:rsid w:val="00891797"/>
    <w:rsid w:val="00891AA5"/>
    <w:rsid w:val="00891BDD"/>
    <w:rsid w:val="00891F33"/>
    <w:rsid w:val="008922C2"/>
    <w:rsid w:val="00892698"/>
    <w:rsid w:val="00892701"/>
    <w:rsid w:val="00892994"/>
    <w:rsid w:val="00892A6C"/>
    <w:rsid w:val="00892BC4"/>
    <w:rsid w:val="00892DED"/>
    <w:rsid w:val="00892F42"/>
    <w:rsid w:val="008932AD"/>
    <w:rsid w:val="00893A86"/>
    <w:rsid w:val="00894022"/>
    <w:rsid w:val="008946B7"/>
    <w:rsid w:val="008946DC"/>
    <w:rsid w:val="0089477D"/>
    <w:rsid w:val="00894CB4"/>
    <w:rsid w:val="0089514C"/>
    <w:rsid w:val="00895472"/>
    <w:rsid w:val="008954F4"/>
    <w:rsid w:val="00895928"/>
    <w:rsid w:val="0089617A"/>
    <w:rsid w:val="00896363"/>
    <w:rsid w:val="00896713"/>
    <w:rsid w:val="00896A3A"/>
    <w:rsid w:val="00896CA6"/>
    <w:rsid w:val="00896CB4"/>
    <w:rsid w:val="00896EC8"/>
    <w:rsid w:val="00897149"/>
    <w:rsid w:val="0089724A"/>
    <w:rsid w:val="00897286"/>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F1"/>
    <w:rsid w:val="008A11EC"/>
    <w:rsid w:val="008A150D"/>
    <w:rsid w:val="008A1542"/>
    <w:rsid w:val="008A1B5F"/>
    <w:rsid w:val="008A1C5D"/>
    <w:rsid w:val="008A20C3"/>
    <w:rsid w:val="008A2100"/>
    <w:rsid w:val="008A23C2"/>
    <w:rsid w:val="008A2B32"/>
    <w:rsid w:val="008A3158"/>
    <w:rsid w:val="008A3FFA"/>
    <w:rsid w:val="008A4042"/>
    <w:rsid w:val="008A49CE"/>
    <w:rsid w:val="008A49E1"/>
    <w:rsid w:val="008A4B74"/>
    <w:rsid w:val="008A4B75"/>
    <w:rsid w:val="008A4D5E"/>
    <w:rsid w:val="008A4F3D"/>
    <w:rsid w:val="008A514C"/>
    <w:rsid w:val="008A5455"/>
    <w:rsid w:val="008A58C6"/>
    <w:rsid w:val="008A5BF1"/>
    <w:rsid w:val="008A5C49"/>
    <w:rsid w:val="008A5FE9"/>
    <w:rsid w:val="008A60C1"/>
    <w:rsid w:val="008A6116"/>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535"/>
    <w:rsid w:val="008B0295"/>
    <w:rsid w:val="008B035B"/>
    <w:rsid w:val="008B03C4"/>
    <w:rsid w:val="008B08B6"/>
    <w:rsid w:val="008B0A74"/>
    <w:rsid w:val="008B0F52"/>
    <w:rsid w:val="008B110C"/>
    <w:rsid w:val="008B1817"/>
    <w:rsid w:val="008B19D4"/>
    <w:rsid w:val="008B1A4E"/>
    <w:rsid w:val="008B1D2D"/>
    <w:rsid w:val="008B1D84"/>
    <w:rsid w:val="008B1F13"/>
    <w:rsid w:val="008B1FA1"/>
    <w:rsid w:val="008B210C"/>
    <w:rsid w:val="008B2228"/>
    <w:rsid w:val="008B229E"/>
    <w:rsid w:val="008B23E2"/>
    <w:rsid w:val="008B26C2"/>
    <w:rsid w:val="008B2872"/>
    <w:rsid w:val="008B291E"/>
    <w:rsid w:val="008B2B3C"/>
    <w:rsid w:val="008B2D37"/>
    <w:rsid w:val="008B34F6"/>
    <w:rsid w:val="008B3793"/>
    <w:rsid w:val="008B38CE"/>
    <w:rsid w:val="008B3DC1"/>
    <w:rsid w:val="008B3FB3"/>
    <w:rsid w:val="008B4064"/>
    <w:rsid w:val="008B406A"/>
    <w:rsid w:val="008B4121"/>
    <w:rsid w:val="008B4541"/>
    <w:rsid w:val="008B458A"/>
    <w:rsid w:val="008B4AB5"/>
    <w:rsid w:val="008B4B57"/>
    <w:rsid w:val="008B5332"/>
    <w:rsid w:val="008B5C4B"/>
    <w:rsid w:val="008B5D62"/>
    <w:rsid w:val="008B5EFD"/>
    <w:rsid w:val="008B5F65"/>
    <w:rsid w:val="008B61A5"/>
    <w:rsid w:val="008B62C8"/>
    <w:rsid w:val="008B62DE"/>
    <w:rsid w:val="008B660D"/>
    <w:rsid w:val="008B6698"/>
    <w:rsid w:val="008B68E1"/>
    <w:rsid w:val="008B6BFD"/>
    <w:rsid w:val="008B6C85"/>
    <w:rsid w:val="008B6D43"/>
    <w:rsid w:val="008B751B"/>
    <w:rsid w:val="008B76D4"/>
    <w:rsid w:val="008B79B5"/>
    <w:rsid w:val="008B7AE5"/>
    <w:rsid w:val="008B7E87"/>
    <w:rsid w:val="008C0967"/>
    <w:rsid w:val="008C0AD5"/>
    <w:rsid w:val="008C0CFF"/>
    <w:rsid w:val="008C10A5"/>
    <w:rsid w:val="008C1333"/>
    <w:rsid w:val="008C18C9"/>
    <w:rsid w:val="008C194B"/>
    <w:rsid w:val="008C1AC0"/>
    <w:rsid w:val="008C1B78"/>
    <w:rsid w:val="008C1E0D"/>
    <w:rsid w:val="008C1E39"/>
    <w:rsid w:val="008C1E98"/>
    <w:rsid w:val="008C1F0A"/>
    <w:rsid w:val="008C1FBF"/>
    <w:rsid w:val="008C273B"/>
    <w:rsid w:val="008C2871"/>
    <w:rsid w:val="008C299E"/>
    <w:rsid w:val="008C2A30"/>
    <w:rsid w:val="008C2B32"/>
    <w:rsid w:val="008C2BF8"/>
    <w:rsid w:val="008C2F12"/>
    <w:rsid w:val="008C2FC1"/>
    <w:rsid w:val="008C320D"/>
    <w:rsid w:val="008C339A"/>
    <w:rsid w:val="008C39E6"/>
    <w:rsid w:val="008C3C16"/>
    <w:rsid w:val="008C3E4A"/>
    <w:rsid w:val="008C468C"/>
    <w:rsid w:val="008C53F3"/>
    <w:rsid w:val="008C54AF"/>
    <w:rsid w:val="008C56CE"/>
    <w:rsid w:val="008C5F20"/>
    <w:rsid w:val="008C5F2C"/>
    <w:rsid w:val="008C5FA0"/>
    <w:rsid w:val="008C6004"/>
    <w:rsid w:val="008C6154"/>
    <w:rsid w:val="008C6255"/>
    <w:rsid w:val="008C626A"/>
    <w:rsid w:val="008C636D"/>
    <w:rsid w:val="008C66BC"/>
    <w:rsid w:val="008C6901"/>
    <w:rsid w:val="008C6A81"/>
    <w:rsid w:val="008C6AA5"/>
    <w:rsid w:val="008C6B0C"/>
    <w:rsid w:val="008C6B2E"/>
    <w:rsid w:val="008C7300"/>
    <w:rsid w:val="008C73ED"/>
    <w:rsid w:val="008C7645"/>
    <w:rsid w:val="008C7D0D"/>
    <w:rsid w:val="008C7E9B"/>
    <w:rsid w:val="008C7ECE"/>
    <w:rsid w:val="008D04F5"/>
    <w:rsid w:val="008D0510"/>
    <w:rsid w:val="008D08C4"/>
    <w:rsid w:val="008D0901"/>
    <w:rsid w:val="008D0BE2"/>
    <w:rsid w:val="008D114E"/>
    <w:rsid w:val="008D11A1"/>
    <w:rsid w:val="008D1233"/>
    <w:rsid w:val="008D12BF"/>
    <w:rsid w:val="008D1335"/>
    <w:rsid w:val="008D16AB"/>
    <w:rsid w:val="008D1AA7"/>
    <w:rsid w:val="008D1BCB"/>
    <w:rsid w:val="008D1C3C"/>
    <w:rsid w:val="008D1CC6"/>
    <w:rsid w:val="008D1FA9"/>
    <w:rsid w:val="008D23B9"/>
    <w:rsid w:val="008D23F8"/>
    <w:rsid w:val="008D261B"/>
    <w:rsid w:val="008D2A60"/>
    <w:rsid w:val="008D2C81"/>
    <w:rsid w:val="008D33FD"/>
    <w:rsid w:val="008D34F5"/>
    <w:rsid w:val="008D36D1"/>
    <w:rsid w:val="008D3901"/>
    <w:rsid w:val="008D3A1B"/>
    <w:rsid w:val="008D3A22"/>
    <w:rsid w:val="008D3BA1"/>
    <w:rsid w:val="008D4065"/>
    <w:rsid w:val="008D4687"/>
    <w:rsid w:val="008D4706"/>
    <w:rsid w:val="008D4A1A"/>
    <w:rsid w:val="008D4E38"/>
    <w:rsid w:val="008D54BC"/>
    <w:rsid w:val="008D54D3"/>
    <w:rsid w:val="008D56A8"/>
    <w:rsid w:val="008D5A0D"/>
    <w:rsid w:val="008D5D73"/>
    <w:rsid w:val="008D5FF6"/>
    <w:rsid w:val="008D6119"/>
    <w:rsid w:val="008D62F9"/>
    <w:rsid w:val="008D65BE"/>
    <w:rsid w:val="008D665E"/>
    <w:rsid w:val="008D67B3"/>
    <w:rsid w:val="008D68C1"/>
    <w:rsid w:val="008D6B8C"/>
    <w:rsid w:val="008D6C03"/>
    <w:rsid w:val="008D6DDE"/>
    <w:rsid w:val="008D6F18"/>
    <w:rsid w:val="008D6F27"/>
    <w:rsid w:val="008D7007"/>
    <w:rsid w:val="008D7144"/>
    <w:rsid w:val="008D787D"/>
    <w:rsid w:val="008D7A2A"/>
    <w:rsid w:val="008D7A2D"/>
    <w:rsid w:val="008D7DD7"/>
    <w:rsid w:val="008D7E31"/>
    <w:rsid w:val="008D7E8B"/>
    <w:rsid w:val="008D7EEB"/>
    <w:rsid w:val="008E01FC"/>
    <w:rsid w:val="008E0311"/>
    <w:rsid w:val="008E04D9"/>
    <w:rsid w:val="008E0711"/>
    <w:rsid w:val="008E0875"/>
    <w:rsid w:val="008E0B7D"/>
    <w:rsid w:val="008E0E67"/>
    <w:rsid w:val="008E0E87"/>
    <w:rsid w:val="008E11A7"/>
    <w:rsid w:val="008E120E"/>
    <w:rsid w:val="008E122C"/>
    <w:rsid w:val="008E1655"/>
    <w:rsid w:val="008E1720"/>
    <w:rsid w:val="008E1D1B"/>
    <w:rsid w:val="008E21C5"/>
    <w:rsid w:val="008E22D1"/>
    <w:rsid w:val="008E2301"/>
    <w:rsid w:val="008E25A2"/>
    <w:rsid w:val="008E317F"/>
    <w:rsid w:val="008E351E"/>
    <w:rsid w:val="008E387E"/>
    <w:rsid w:val="008E38A5"/>
    <w:rsid w:val="008E3B0D"/>
    <w:rsid w:val="008E3F0C"/>
    <w:rsid w:val="008E4120"/>
    <w:rsid w:val="008E457E"/>
    <w:rsid w:val="008E4699"/>
    <w:rsid w:val="008E4885"/>
    <w:rsid w:val="008E48DB"/>
    <w:rsid w:val="008E4980"/>
    <w:rsid w:val="008E4B0E"/>
    <w:rsid w:val="008E4E20"/>
    <w:rsid w:val="008E520E"/>
    <w:rsid w:val="008E553F"/>
    <w:rsid w:val="008E5745"/>
    <w:rsid w:val="008E5C58"/>
    <w:rsid w:val="008E5DEF"/>
    <w:rsid w:val="008E613A"/>
    <w:rsid w:val="008E61E8"/>
    <w:rsid w:val="008E68B7"/>
    <w:rsid w:val="008E6B58"/>
    <w:rsid w:val="008E6D7D"/>
    <w:rsid w:val="008E6D84"/>
    <w:rsid w:val="008E6D8B"/>
    <w:rsid w:val="008E6DEA"/>
    <w:rsid w:val="008E6F74"/>
    <w:rsid w:val="008E726F"/>
    <w:rsid w:val="008E7276"/>
    <w:rsid w:val="008E7336"/>
    <w:rsid w:val="008E7343"/>
    <w:rsid w:val="008E7419"/>
    <w:rsid w:val="008E76D8"/>
    <w:rsid w:val="008E79CD"/>
    <w:rsid w:val="008E7AD9"/>
    <w:rsid w:val="008E7D2D"/>
    <w:rsid w:val="008E7DBA"/>
    <w:rsid w:val="008E7F7E"/>
    <w:rsid w:val="008F002F"/>
    <w:rsid w:val="008F00A5"/>
    <w:rsid w:val="008F00FB"/>
    <w:rsid w:val="008F02D0"/>
    <w:rsid w:val="008F052F"/>
    <w:rsid w:val="008F0C8A"/>
    <w:rsid w:val="008F0E88"/>
    <w:rsid w:val="008F1531"/>
    <w:rsid w:val="008F1632"/>
    <w:rsid w:val="008F18AD"/>
    <w:rsid w:val="008F1943"/>
    <w:rsid w:val="008F1DD5"/>
    <w:rsid w:val="008F1F10"/>
    <w:rsid w:val="008F2055"/>
    <w:rsid w:val="008F2088"/>
    <w:rsid w:val="008F219C"/>
    <w:rsid w:val="008F2981"/>
    <w:rsid w:val="008F29DD"/>
    <w:rsid w:val="008F2B18"/>
    <w:rsid w:val="008F2E09"/>
    <w:rsid w:val="008F2E96"/>
    <w:rsid w:val="008F316F"/>
    <w:rsid w:val="008F3493"/>
    <w:rsid w:val="008F38AF"/>
    <w:rsid w:val="008F38B0"/>
    <w:rsid w:val="008F3993"/>
    <w:rsid w:val="008F3B5E"/>
    <w:rsid w:val="008F3C0D"/>
    <w:rsid w:val="008F3CD8"/>
    <w:rsid w:val="008F4053"/>
    <w:rsid w:val="008F409E"/>
    <w:rsid w:val="008F419D"/>
    <w:rsid w:val="008F4441"/>
    <w:rsid w:val="008F47EB"/>
    <w:rsid w:val="008F492D"/>
    <w:rsid w:val="008F4B25"/>
    <w:rsid w:val="008F4DF8"/>
    <w:rsid w:val="008F51B3"/>
    <w:rsid w:val="008F533F"/>
    <w:rsid w:val="008F5438"/>
    <w:rsid w:val="008F556C"/>
    <w:rsid w:val="008F564D"/>
    <w:rsid w:val="008F56CC"/>
    <w:rsid w:val="008F5911"/>
    <w:rsid w:val="008F5931"/>
    <w:rsid w:val="008F5A37"/>
    <w:rsid w:val="008F5B18"/>
    <w:rsid w:val="008F5B85"/>
    <w:rsid w:val="008F6252"/>
    <w:rsid w:val="008F6A4E"/>
    <w:rsid w:val="008F6D73"/>
    <w:rsid w:val="008F6DDA"/>
    <w:rsid w:val="008F6F27"/>
    <w:rsid w:val="008F70A9"/>
    <w:rsid w:val="008F72F0"/>
    <w:rsid w:val="008F7711"/>
    <w:rsid w:val="008F77B1"/>
    <w:rsid w:val="008F797E"/>
    <w:rsid w:val="008F7CD0"/>
    <w:rsid w:val="008F7E5A"/>
    <w:rsid w:val="008F7E67"/>
    <w:rsid w:val="008F7F28"/>
    <w:rsid w:val="009002D6"/>
    <w:rsid w:val="009005A1"/>
    <w:rsid w:val="00900AF0"/>
    <w:rsid w:val="00900ECE"/>
    <w:rsid w:val="00901134"/>
    <w:rsid w:val="00901333"/>
    <w:rsid w:val="00901A6D"/>
    <w:rsid w:val="009022EE"/>
    <w:rsid w:val="00902670"/>
    <w:rsid w:val="009029D6"/>
    <w:rsid w:val="00902EE1"/>
    <w:rsid w:val="00902EF2"/>
    <w:rsid w:val="00903009"/>
    <w:rsid w:val="009030BC"/>
    <w:rsid w:val="009031F0"/>
    <w:rsid w:val="0090355B"/>
    <w:rsid w:val="009035C5"/>
    <w:rsid w:val="00903654"/>
    <w:rsid w:val="00903C95"/>
    <w:rsid w:val="00903DF6"/>
    <w:rsid w:val="0090414C"/>
    <w:rsid w:val="00904452"/>
    <w:rsid w:val="00904519"/>
    <w:rsid w:val="009046F4"/>
    <w:rsid w:val="00904758"/>
    <w:rsid w:val="009049DB"/>
    <w:rsid w:val="00904F80"/>
    <w:rsid w:val="00904FEF"/>
    <w:rsid w:val="009051C8"/>
    <w:rsid w:val="009053C5"/>
    <w:rsid w:val="00905409"/>
    <w:rsid w:val="00905433"/>
    <w:rsid w:val="00905879"/>
    <w:rsid w:val="0090593A"/>
    <w:rsid w:val="00905B1B"/>
    <w:rsid w:val="009068B2"/>
    <w:rsid w:val="00906B1A"/>
    <w:rsid w:val="00906C2B"/>
    <w:rsid w:val="0090710A"/>
    <w:rsid w:val="009072DF"/>
    <w:rsid w:val="00907395"/>
    <w:rsid w:val="009073B0"/>
    <w:rsid w:val="0090744F"/>
    <w:rsid w:val="0090768E"/>
    <w:rsid w:val="00907F7F"/>
    <w:rsid w:val="00910004"/>
    <w:rsid w:val="009100FA"/>
    <w:rsid w:val="009103AF"/>
    <w:rsid w:val="009103F5"/>
    <w:rsid w:val="00910E33"/>
    <w:rsid w:val="00911089"/>
    <w:rsid w:val="00911732"/>
    <w:rsid w:val="009118A8"/>
    <w:rsid w:val="009119BE"/>
    <w:rsid w:val="00911CEE"/>
    <w:rsid w:val="00911D07"/>
    <w:rsid w:val="00911FAE"/>
    <w:rsid w:val="00912125"/>
    <w:rsid w:val="009121D8"/>
    <w:rsid w:val="009122BC"/>
    <w:rsid w:val="00912752"/>
    <w:rsid w:val="0091285D"/>
    <w:rsid w:val="00912C3E"/>
    <w:rsid w:val="00912C60"/>
    <w:rsid w:val="00912FF9"/>
    <w:rsid w:val="009136CB"/>
    <w:rsid w:val="00913885"/>
    <w:rsid w:val="00913AE9"/>
    <w:rsid w:val="00914612"/>
    <w:rsid w:val="0091493B"/>
    <w:rsid w:val="00914CCC"/>
    <w:rsid w:val="00914D94"/>
    <w:rsid w:val="009151C4"/>
    <w:rsid w:val="00915540"/>
    <w:rsid w:val="00915698"/>
    <w:rsid w:val="00915CD3"/>
    <w:rsid w:val="00915D0D"/>
    <w:rsid w:val="00915F90"/>
    <w:rsid w:val="00916168"/>
    <w:rsid w:val="0091659A"/>
    <w:rsid w:val="00916611"/>
    <w:rsid w:val="009167D0"/>
    <w:rsid w:val="009169FD"/>
    <w:rsid w:val="009170A2"/>
    <w:rsid w:val="00917166"/>
    <w:rsid w:val="009172F3"/>
    <w:rsid w:val="009173E2"/>
    <w:rsid w:val="0091792E"/>
    <w:rsid w:val="00917C4A"/>
    <w:rsid w:val="00917C96"/>
    <w:rsid w:val="0092039D"/>
    <w:rsid w:val="00920974"/>
    <w:rsid w:val="00920BD9"/>
    <w:rsid w:val="00920E0C"/>
    <w:rsid w:val="00920E9F"/>
    <w:rsid w:val="00920F29"/>
    <w:rsid w:val="00921088"/>
    <w:rsid w:val="009210B6"/>
    <w:rsid w:val="009210C3"/>
    <w:rsid w:val="00921417"/>
    <w:rsid w:val="0092164D"/>
    <w:rsid w:val="00921AED"/>
    <w:rsid w:val="00921DF3"/>
    <w:rsid w:val="009222D0"/>
    <w:rsid w:val="0092237B"/>
    <w:rsid w:val="00922544"/>
    <w:rsid w:val="00922666"/>
    <w:rsid w:val="00922D7C"/>
    <w:rsid w:val="00922F02"/>
    <w:rsid w:val="009235E1"/>
    <w:rsid w:val="009238CE"/>
    <w:rsid w:val="009239BB"/>
    <w:rsid w:val="00923AE1"/>
    <w:rsid w:val="00923D2E"/>
    <w:rsid w:val="00923E8F"/>
    <w:rsid w:val="00923F48"/>
    <w:rsid w:val="0092400B"/>
    <w:rsid w:val="009242E8"/>
    <w:rsid w:val="0092433D"/>
    <w:rsid w:val="009243BE"/>
    <w:rsid w:val="009244B5"/>
    <w:rsid w:val="009244CD"/>
    <w:rsid w:val="00924953"/>
    <w:rsid w:val="0092506E"/>
    <w:rsid w:val="0092516E"/>
    <w:rsid w:val="009259ED"/>
    <w:rsid w:val="00925A50"/>
    <w:rsid w:val="00925C2B"/>
    <w:rsid w:val="00925F9B"/>
    <w:rsid w:val="00925FE7"/>
    <w:rsid w:val="00926114"/>
    <w:rsid w:val="00926678"/>
    <w:rsid w:val="00926900"/>
    <w:rsid w:val="00926CD6"/>
    <w:rsid w:val="00927176"/>
    <w:rsid w:val="009273CD"/>
    <w:rsid w:val="00927437"/>
    <w:rsid w:val="0092759B"/>
    <w:rsid w:val="00927779"/>
    <w:rsid w:val="00927857"/>
    <w:rsid w:val="0092794C"/>
    <w:rsid w:val="00927DAC"/>
    <w:rsid w:val="00927EEA"/>
    <w:rsid w:val="00930475"/>
    <w:rsid w:val="00930CD4"/>
    <w:rsid w:val="00931573"/>
    <w:rsid w:val="009317BA"/>
    <w:rsid w:val="00931828"/>
    <w:rsid w:val="00931E63"/>
    <w:rsid w:val="00932114"/>
    <w:rsid w:val="00932160"/>
    <w:rsid w:val="00932165"/>
    <w:rsid w:val="00932431"/>
    <w:rsid w:val="009328BA"/>
    <w:rsid w:val="009328C7"/>
    <w:rsid w:val="00932934"/>
    <w:rsid w:val="00932AC6"/>
    <w:rsid w:val="00932AE1"/>
    <w:rsid w:val="00932B1A"/>
    <w:rsid w:val="00932D05"/>
    <w:rsid w:val="00932E3F"/>
    <w:rsid w:val="00932EA7"/>
    <w:rsid w:val="009330F8"/>
    <w:rsid w:val="00933A11"/>
    <w:rsid w:val="00933D96"/>
    <w:rsid w:val="00933DF1"/>
    <w:rsid w:val="0093400F"/>
    <w:rsid w:val="009341A5"/>
    <w:rsid w:val="0093424D"/>
    <w:rsid w:val="009345CA"/>
    <w:rsid w:val="00934756"/>
    <w:rsid w:val="00934889"/>
    <w:rsid w:val="00934922"/>
    <w:rsid w:val="00934ADD"/>
    <w:rsid w:val="00935166"/>
    <w:rsid w:val="0093524E"/>
    <w:rsid w:val="00935484"/>
    <w:rsid w:val="00935487"/>
    <w:rsid w:val="00935828"/>
    <w:rsid w:val="00935984"/>
    <w:rsid w:val="00935DD5"/>
    <w:rsid w:val="0093654F"/>
    <w:rsid w:val="009366E8"/>
    <w:rsid w:val="00936768"/>
    <w:rsid w:val="0093685B"/>
    <w:rsid w:val="00936907"/>
    <w:rsid w:val="0093691E"/>
    <w:rsid w:val="00936AA7"/>
    <w:rsid w:val="00936CE8"/>
    <w:rsid w:val="009373C7"/>
    <w:rsid w:val="009373EC"/>
    <w:rsid w:val="0093757B"/>
    <w:rsid w:val="0093767B"/>
    <w:rsid w:val="00937B4A"/>
    <w:rsid w:val="00937B70"/>
    <w:rsid w:val="00937F85"/>
    <w:rsid w:val="00937F89"/>
    <w:rsid w:val="00940279"/>
    <w:rsid w:val="00940471"/>
    <w:rsid w:val="0094074A"/>
    <w:rsid w:val="009407AD"/>
    <w:rsid w:val="00941153"/>
    <w:rsid w:val="00941191"/>
    <w:rsid w:val="009411FF"/>
    <w:rsid w:val="009413CB"/>
    <w:rsid w:val="00941552"/>
    <w:rsid w:val="009415E7"/>
    <w:rsid w:val="00941804"/>
    <w:rsid w:val="00941B0D"/>
    <w:rsid w:val="00941B61"/>
    <w:rsid w:val="00941C37"/>
    <w:rsid w:val="00941DA6"/>
    <w:rsid w:val="00941FA0"/>
    <w:rsid w:val="009421B1"/>
    <w:rsid w:val="009421CA"/>
    <w:rsid w:val="009424E7"/>
    <w:rsid w:val="009425AA"/>
    <w:rsid w:val="009425CC"/>
    <w:rsid w:val="009425E4"/>
    <w:rsid w:val="0094278F"/>
    <w:rsid w:val="00942D5E"/>
    <w:rsid w:val="00942DAE"/>
    <w:rsid w:val="00942DEC"/>
    <w:rsid w:val="00942E79"/>
    <w:rsid w:val="009430EF"/>
    <w:rsid w:val="00943266"/>
    <w:rsid w:val="009432BC"/>
    <w:rsid w:val="009432C3"/>
    <w:rsid w:val="009433E5"/>
    <w:rsid w:val="00943731"/>
    <w:rsid w:val="009439DD"/>
    <w:rsid w:val="00943AAA"/>
    <w:rsid w:val="00943F3A"/>
    <w:rsid w:val="00944072"/>
    <w:rsid w:val="009441F8"/>
    <w:rsid w:val="00944399"/>
    <w:rsid w:val="009443B4"/>
    <w:rsid w:val="00944501"/>
    <w:rsid w:val="009449B7"/>
    <w:rsid w:val="00944CE1"/>
    <w:rsid w:val="00944E91"/>
    <w:rsid w:val="00944F0A"/>
    <w:rsid w:val="00945128"/>
    <w:rsid w:val="00945415"/>
    <w:rsid w:val="009458A7"/>
    <w:rsid w:val="00945C95"/>
    <w:rsid w:val="009466D1"/>
    <w:rsid w:val="0094680A"/>
    <w:rsid w:val="00946A28"/>
    <w:rsid w:val="00946D93"/>
    <w:rsid w:val="00946E07"/>
    <w:rsid w:val="009470DF"/>
    <w:rsid w:val="0094741E"/>
    <w:rsid w:val="0094793C"/>
    <w:rsid w:val="00947BAC"/>
    <w:rsid w:val="00947C4E"/>
    <w:rsid w:val="00947E39"/>
    <w:rsid w:val="009501DB"/>
    <w:rsid w:val="009506A0"/>
    <w:rsid w:val="00950761"/>
    <w:rsid w:val="009507B7"/>
    <w:rsid w:val="009508E1"/>
    <w:rsid w:val="009508FB"/>
    <w:rsid w:val="00950B71"/>
    <w:rsid w:val="00950BB4"/>
    <w:rsid w:val="00950F90"/>
    <w:rsid w:val="009510C4"/>
    <w:rsid w:val="009511F8"/>
    <w:rsid w:val="0095125D"/>
    <w:rsid w:val="0095131D"/>
    <w:rsid w:val="00951416"/>
    <w:rsid w:val="009517C9"/>
    <w:rsid w:val="00951A9B"/>
    <w:rsid w:val="00951B3B"/>
    <w:rsid w:val="00951BDB"/>
    <w:rsid w:val="00951C05"/>
    <w:rsid w:val="00951C21"/>
    <w:rsid w:val="00951CB7"/>
    <w:rsid w:val="00951CDA"/>
    <w:rsid w:val="0095281A"/>
    <w:rsid w:val="00952A00"/>
    <w:rsid w:val="00952C00"/>
    <w:rsid w:val="00952DFC"/>
    <w:rsid w:val="009532B9"/>
    <w:rsid w:val="00953334"/>
    <w:rsid w:val="00953480"/>
    <w:rsid w:val="00953AE8"/>
    <w:rsid w:val="00953B51"/>
    <w:rsid w:val="00953CCE"/>
    <w:rsid w:val="00953D14"/>
    <w:rsid w:val="00954480"/>
    <w:rsid w:val="009547B1"/>
    <w:rsid w:val="00954A0A"/>
    <w:rsid w:val="00954A16"/>
    <w:rsid w:val="00954E76"/>
    <w:rsid w:val="00954E8E"/>
    <w:rsid w:val="00954F20"/>
    <w:rsid w:val="0095503F"/>
    <w:rsid w:val="00955192"/>
    <w:rsid w:val="009558B3"/>
    <w:rsid w:val="00955911"/>
    <w:rsid w:val="0095597C"/>
    <w:rsid w:val="00955C83"/>
    <w:rsid w:val="00955EC7"/>
    <w:rsid w:val="009561A9"/>
    <w:rsid w:val="0095623F"/>
    <w:rsid w:val="00956432"/>
    <w:rsid w:val="009564A4"/>
    <w:rsid w:val="009568A6"/>
    <w:rsid w:val="00956F3A"/>
    <w:rsid w:val="00957131"/>
    <w:rsid w:val="0095726D"/>
    <w:rsid w:val="009572CE"/>
    <w:rsid w:val="0095750C"/>
    <w:rsid w:val="009575A3"/>
    <w:rsid w:val="009575EE"/>
    <w:rsid w:val="009576DE"/>
    <w:rsid w:val="0095776B"/>
    <w:rsid w:val="00957A42"/>
    <w:rsid w:val="00957D02"/>
    <w:rsid w:val="0096037F"/>
    <w:rsid w:val="00960966"/>
    <w:rsid w:val="00960D8D"/>
    <w:rsid w:val="00960EED"/>
    <w:rsid w:val="009612A1"/>
    <w:rsid w:val="009614E9"/>
    <w:rsid w:val="0096152B"/>
    <w:rsid w:val="009616D4"/>
    <w:rsid w:val="00961722"/>
    <w:rsid w:val="00961975"/>
    <w:rsid w:val="00961993"/>
    <w:rsid w:val="00961BBC"/>
    <w:rsid w:val="0096295E"/>
    <w:rsid w:val="00962E75"/>
    <w:rsid w:val="00962F11"/>
    <w:rsid w:val="00963DC8"/>
    <w:rsid w:val="00963ED0"/>
    <w:rsid w:val="00963FDC"/>
    <w:rsid w:val="00964159"/>
    <w:rsid w:val="00964268"/>
    <w:rsid w:val="00964503"/>
    <w:rsid w:val="00964577"/>
    <w:rsid w:val="00964612"/>
    <w:rsid w:val="0096472A"/>
    <w:rsid w:val="0096483A"/>
    <w:rsid w:val="00964AF6"/>
    <w:rsid w:val="00964DEA"/>
    <w:rsid w:val="00965202"/>
    <w:rsid w:val="009657E4"/>
    <w:rsid w:val="0096592D"/>
    <w:rsid w:val="00965954"/>
    <w:rsid w:val="0096596B"/>
    <w:rsid w:val="00965C24"/>
    <w:rsid w:val="00965CD5"/>
    <w:rsid w:val="009661ED"/>
    <w:rsid w:val="0096630A"/>
    <w:rsid w:val="00966448"/>
    <w:rsid w:val="009669C3"/>
    <w:rsid w:val="00966A80"/>
    <w:rsid w:val="00966C58"/>
    <w:rsid w:val="00966E9C"/>
    <w:rsid w:val="009670CA"/>
    <w:rsid w:val="00967109"/>
    <w:rsid w:val="00967305"/>
    <w:rsid w:val="0096766D"/>
    <w:rsid w:val="009678D1"/>
    <w:rsid w:val="009678F5"/>
    <w:rsid w:val="00967BBC"/>
    <w:rsid w:val="0097047F"/>
    <w:rsid w:val="00970971"/>
    <w:rsid w:val="00970A52"/>
    <w:rsid w:val="00970A78"/>
    <w:rsid w:val="00970CBC"/>
    <w:rsid w:val="00970D1E"/>
    <w:rsid w:val="0097109E"/>
    <w:rsid w:val="00971124"/>
    <w:rsid w:val="00971330"/>
    <w:rsid w:val="0097133E"/>
    <w:rsid w:val="00971776"/>
    <w:rsid w:val="009722B8"/>
    <w:rsid w:val="009723E0"/>
    <w:rsid w:val="009726C2"/>
    <w:rsid w:val="00972828"/>
    <w:rsid w:val="0097295A"/>
    <w:rsid w:val="00972B27"/>
    <w:rsid w:val="00972BFA"/>
    <w:rsid w:val="00972C6F"/>
    <w:rsid w:val="00972E23"/>
    <w:rsid w:val="00972F18"/>
    <w:rsid w:val="00972F70"/>
    <w:rsid w:val="009730B0"/>
    <w:rsid w:val="00973290"/>
    <w:rsid w:val="009733F4"/>
    <w:rsid w:val="009735E3"/>
    <w:rsid w:val="0097380B"/>
    <w:rsid w:val="00973889"/>
    <w:rsid w:val="009739F6"/>
    <w:rsid w:val="00973BB7"/>
    <w:rsid w:val="00974000"/>
    <w:rsid w:val="00974045"/>
    <w:rsid w:val="009744CF"/>
    <w:rsid w:val="0097454C"/>
    <w:rsid w:val="00974677"/>
    <w:rsid w:val="00974794"/>
    <w:rsid w:val="009749F3"/>
    <w:rsid w:val="00974A3D"/>
    <w:rsid w:val="00974D0D"/>
    <w:rsid w:val="00974EBD"/>
    <w:rsid w:val="00974FA3"/>
    <w:rsid w:val="00975142"/>
    <w:rsid w:val="00975AF3"/>
    <w:rsid w:val="00975E64"/>
    <w:rsid w:val="00975E6F"/>
    <w:rsid w:val="0097605F"/>
    <w:rsid w:val="009764D3"/>
    <w:rsid w:val="009766C9"/>
    <w:rsid w:val="00976BA0"/>
    <w:rsid w:val="00976DAE"/>
    <w:rsid w:val="009770B6"/>
    <w:rsid w:val="0097753E"/>
    <w:rsid w:val="0097770B"/>
    <w:rsid w:val="0097787C"/>
    <w:rsid w:val="00980067"/>
    <w:rsid w:val="009801ED"/>
    <w:rsid w:val="00980306"/>
    <w:rsid w:val="0098039E"/>
    <w:rsid w:val="00980D1A"/>
    <w:rsid w:val="00980D6D"/>
    <w:rsid w:val="00981512"/>
    <w:rsid w:val="00981627"/>
    <w:rsid w:val="009816DA"/>
    <w:rsid w:val="009817AE"/>
    <w:rsid w:val="00981A59"/>
    <w:rsid w:val="00981B7A"/>
    <w:rsid w:val="00981D25"/>
    <w:rsid w:val="00982124"/>
    <w:rsid w:val="0098280D"/>
    <w:rsid w:val="00982846"/>
    <w:rsid w:val="00982B90"/>
    <w:rsid w:val="00982E36"/>
    <w:rsid w:val="00982FC1"/>
    <w:rsid w:val="00983086"/>
    <w:rsid w:val="00983515"/>
    <w:rsid w:val="00983665"/>
    <w:rsid w:val="009838E1"/>
    <w:rsid w:val="00983BA2"/>
    <w:rsid w:val="00983BDA"/>
    <w:rsid w:val="00983E2D"/>
    <w:rsid w:val="00984264"/>
    <w:rsid w:val="009843C8"/>
    <w:rsid w:val="009844E2"/>
    <w:rsid w:val="00984F3E"/>
    <w:rsid w:val="009855CA"/>
    <w:rsid w:val="00985776"/>
    <w:rsid w:val="0098588E"/>
    <w:rsid w:val="009859AE"/>
    <w:rsid w:val="00985DB1"/>
    <w:rsid w:val="00985DB5"/>
    <w:rsid w:val="009863BF"/>
    <w:rsid w:val="0098652B"/>
    <w:rsid w:val="00986575"/>
    <w:rsid w:val="00986620"/>
    <w:rsid w:val="00986F1D"/>
    <w:rsid w:val="0098702C"/>
    <w:rsid w:val="0098719F"/>
    <w:rsid w:val="009876AF"/>
    <w:rsid w:val="009878B7"/>
    <w:rsid w:val="009878F1"/>
    <w:rsid w:val="00987F4F"/>
    <w:rsid w:val="009902AA"/>
    <w:rsid w:val="00990931"/>
    <w:rsid w:val="009909D9"/>
    <w:rsid w:val="00990A84"/>
    <w:rsid w:val="00990EEE"/>
    <w:rsid w:val="00991380"/>
    <w:rsid w:val="00991811"/>
    <w:rsid w:val="00991B39"/>
    <w:rsid w:val="00991B46"/>
    <w:rsid w:val="00992043"/>
    <w:rsid w:val="0099239A"/>
    <w:rsid w:val="0099242A"/>
    <w:rsid w:val="0099256F"/>
    <w:rsid w:val="009927E9"/>
    <w:rsid w:val="00992A8F"/>
    <w:rsid w:val="00992DE3"/>
    <w:rsid w:val="00992F7D"/>
    <w:rsid w:val="00992FD0"/>
    <w:rsid w:val="00993099"/>
    <w:rsid w:val="009930E6"/>
    <w:rsid w:val="009935B7"/>
    <w:rsid w:val="009935D8"/>
    <w:rsid w:val="009937F9"/>
    <w:rsid w:val="00993F56"/>
    <w:rsid w:val="009943A3"/>
    <w:rsid w:val="009945CA"/>
    <w:rsid w:val="009945CB"/>
    <w:rsid w:val="00994656"/>
    <w:rsid w:val="009948D1"/>
    <w:rsid w:val="00994972"/>
    <w:rsid w:val="00995010"/>
    <w:rsid w:val="009952D6"/>
    <w:rsid w:val="0099559C"/>
    <w:rsid w:val="0099570D"/>
    <w:rsid w:val="00995828"/>
    <w:rsid w:val="009958A1"/>
    <w:rsid w:val="009959FE"/>
    <w:rsid w:val="00995B87"/>
    <w:rsid w:val="00995C27"/>
    <w:rsid w:val="00995CCE"/>
    <w:rsid w:val="00995E17"/>
    <w:rsid w:val="009960A5"/>
    <w:rsid w:val="00996732"/>
    <w:rsid w:val="00996888"/>
    <w:rsid w:val="00996C40"/>
    <w:rsid w:val="00996F28"/>
    <w:rsid w:val="00997056"/>
    <w:rsid w:val="009971DF"/>
    <w:rsid w:val="00997361"/>
    <w:rsid w:val="00997584"/>
    <w:rsid w:val="00997A24"/>
    <w:rsid w:val="00997C0F"/>
    <w:rsid w:val="00997C38"/>
    <w:rsid w:val="00997E08"/>
    <w:rsid w:val="00997F4A"/>
    <w:rsid w:val="009A037B"/>
    <w:rsid w:val="009A039D"/>
    <w:rsid w:val="009A0AAF"/>
    <w:rsid w:val="009A0F59"/>
    <w:rsid w:val="009A13BD"/>
    <w:rsid w:val="009A14D5"/>
    <w:rsid w:val="009A1557"/>
    <w:rsid w:val="009A16A9"/>
    <w:rsid w:val="009A184B"/>
    <w:rsid w:val="009A1A6B"/>
    <w:rsid w:val="009A1CFA"/>
    <w:rsid w:val="009A202B"/>
    <w:rsid w:val="009A2235"/>
    <w:rsid w:val="009A2258"/>
    <w:rsid w:val="009A265A"/>
    <w:rsid w:val="009A2A91"/>
    <w:rsid w:val="009A2C04"/>
    <w:rsid w:val="009A30DB"/>
    <w:rsid w:val="009A3123"/>
    <w:rsid w:val="009A3311"/>
    <w:rsid w:val="009A34EA"/>
    <w:rsid w:val="009A385D"/>
    <w:rsid w:val="009A39D0"/>
    <w:rsid w:val="009A3CD1"/>
    <w:rsid w:val="009A3CF0"/>
    <w:rsid w:val="009A3D84"/>
    <w:rsid w:val="009A46E5"/>
    <w:rsid w:val="009A4A80"/>
    <w:rsid w:val="009A4BC4"/>
    <w:rsid w:val="009A4BDB"/>
    <w:rsid w:val="009A4EEE"/>
    <w:rsid w:val="009A5309"/>
    <w:rsid w:val="009A56F8"/>
    <w:rsid w:val="009A576A"/>
    <w:rsid w:val="009A5C3E"/>
    <w:rsid w:val="009A5C52"/>
    <w:rsid w:val="009A5CEE"/>
    <w:rsid w:val="009A60D3"/>
    <w:rsid w:val="009A62EA"/>
    <w:rsid w:val="009A6486"/>
    <w:rsid w:val="009A676C"/>
    <w:rsid w:val="009A690D"/>
    <w:rsid w:val="009A6970"/>
    <w:rsid w:val="009A6DC2"/>
    <w:rsid w:val="009A6F33"/>
    <w:rsid w:val="009A722D"/>
    <w:rsid w:val="009A7356"/>
    <w:rsid w:val="009A773E"/>
    <w:rsid w:val="009A7766"/>
    <w:rsid w:val="009A7B24"/>
    <w:rsid w:val="009A7D94"/>
    <w:rsid w:val="009A7EB5"/>
    <w:rsid w:val="009B0005"/>
    <w:rsid w:val="009B0107"/>
    <w:rsid w:val="009B02DF"/>
    <w:rsid w:val="009B0313"/>
    <w:rsid w:val="009B03D2"/>
    <w:rsid w:val="009B0496"/>
    <w:rsid w:val="009B0803"/>
    <w:rsid w:val="009B0A60"/>
    <w:rsid w:val="009B0A96"/>
    <w:rsid w:val="009B0AAB"/>
    <w:rsid w:val="009B0CC1"/>
    <w:rsid w:val="009B0E9C"/>
    <w:rsid w:val="009B11B5"/>
    <w:rsid w:val="009B1359"/>
    <w:rsid w:val="009B143A"/>
    <w:rsid w:val="009B14D4"/>
    <w:rsid w:val="009B1EC3"/>
    <w:rsid w:val="009B208E"/>
    <w:rsid w:val="009B2BFE"/>
    <w:rsid w:val="009B2DAC"/>
    <w:rsid w:val="009B2F3B"/>
    <w:rsid w:val="009B3049"/>
    <w:rsid w:val="009B3144"/>
    <w:rsid w:val="009B32D4"/>
    <w:rsid w:val="009B3399"/>
    <w:rsid w:val="009B33B6"/>
    <w:rsid w:val="009B3419"/>
    <w:rsid w:val="009B3425"/>
    <w:rsid w:val="009B350B"/>
    <w:rsid w:val="009B380B"/>
    <w:rsid w:val="009B3B02"/>
    <w:rsid w:val="009B3B31"/>
    <w:rsid w:val="009B3D69"/>
    <w:rsid w:val="009B42A4"/>
    <w:rsid w:val="009B4CE1"/>
    <w:rsid w:val="009B4D06"/>
    <w:rsid w:val="009B4F35"/>
    <w:rsid w:val="009B4F9A"/>
    <w:rsid w:val="009B5128"/>
    <w:rsid w:val="009B514A"/>
    <w:rsid w:val="009B5222"/>
    <w:rsid w:val="009B52C5"/>
    <w:rsid w:val="009B54E5"/>
    <w:rsid w:val="009B569F"/>
    <w:rsid w:val="009B58C8"/>
    <w:rsid w:val="009B5905"/>
    <w:rsid w:val="009B5981"/>
    <w:rsid w:val="009B5AC3"/>
    <w:rsid w:val="009B60A2"/>
    <w:rsid w:val="009B61E7"/>
    <w:rsid w:val="009B6397"/>
    <w:rsid w:val="009B6A8B"/>
    <w:rsid w:val="009B6B17"/>
    <w:rsid w:val="009B6F5D"/>
    <w:rsid w:val="009B6FA1"/>
    <w:rsid w:val="009B71D1"/>
    <w:rsid w:val="009B7237"/>
    <w:rsid w:val="009B7462"/>
    <w:rsid w:val="009B7463"/>
    <w:rsid w:val="009B7695"/>
    <w:rsid w:val="009B7786"/>
    <w:rsid w:val="009B7822"/>
    <w:rsid w:val="009B7A58"/>
    <w:rsid w:val="009B7D95"/>
    <w:rsid w:val="009C0125"/>
    <w:rsid w:val="009C01AF"/>
    <w:rsid w:val="009C05FA"/>
    <w:rsid w:val="009C062A"/>
    <w:rsid w:val="009C0649"/>
    <w:rsid w:val="009C06DE"/>
    <w:rsid w:val="009C10A2"/>
    <w:rsid w:val="009C126A"/>
    <w:rsid w:val="009C1480"/>
    <w:rsid w:val="009C14D4"/>
    <w:rsid w:val="009C163E"/>
    <w:rsid w:val="009C1B9C"/>
    <w:rsid w:val="009C1BA7"/>
    <w:rsid w:val="009C1BCC"/>
    <w:rsid w:val="009C1C1A"/>
    <w:rsid w:val="009C1C4B"/>
    <w:rsid w:val="009C1C9F"/>
    <w:rsid w:val="009C1EC4"/>
    <w:rsid w:val="009C1F9E"/>
    <w:rsid w:val="009C2013"/>
    <w:rsid w:val="009C21F8"/>
    <w:rsid w:val="009C226B"/>
    <w:rsid w:val="009C231F"/>
    <w:rsid w:val="009C2696"/>
    <w:rsid w:val="009C281A"/>
    <w:rsid w:val="009C2822"/>
    <w:rsid w:val="009C2899"/>
    <w:rsid w:val="009C2B86"/>
    <w:rsid w:val="009C2BED"/>
    <w:rsid w:val="009C2C41"/>
    <w:rsid w:val="009C3424"/>
    <w:rsid w:val="009C3490"/>
    <w:rsid w:val="009C3571"/>
    <w:rsid w:val="009C387A"/>
    <w:rsid w:val="009C3920"/>
    <w:rsid w:val="009C3C1E"/>
    <w:rsid w:val="009C3DD4"/>
    <w:rsid w:val="009C3F6D"/>
    <w:rsid w:val="009C43BB"/>
    <w:rsid w:val="009C4DAD"/>
    <w:rsid w:val="009C4E88"/>
    <w:rsid w:val="009C4F7C"/>
    <w:rsid w:val="009C4FD9"/>
    <w:rsid w:val="009C529F"/>
    <w:rsid w:val="009C587A"/>
    <w:rsid w:val="009C5EDF"/>
    <w:rsid w:val="009C5FA0"/>
    <w:rsid w:val="009C63D6"/>
    <w:rsid w:val="009C6572"/>
    <w:rsid w:val="009C66AC"/>
    <w:rsid w:val="009C6E50"/>
    <w:rsid w:val="009C70BA"/>
    <w:rsid w:val="009C70DC"/>
    <w:rsid w:val="009C71D4"/>
    <w:rsid w:val="009C71E4"/>
    <w:rsid w:val="009C724D"/>
    <w:rsid w:val="009C7852"/>
    <w:rsid w:val="009C7C16"/>
    <w:rsid w:val="009C7E9A"/>
    <w:rsid w:val="009D0408"/>
    <w:rsid w:val="009D0438"/>
    <w:rsid w:val="009D0574"/>
    <w:rsid w:val="009D0B12"/>
    <w:rsid w:val="009D119A"/>
    <w:rsid w:val="009D1498"/>
    <w:rsid w:val="009D15FE"/>
    <w:rsid w:val="009D1B04"/>
    <w:rsid w:val="009D1DCB"/>
    <w:rsid w:val="009D20C1"/>
    <w:rsid w:val="009D25F7"/>
    <w:rsid w:val="009D2956"/>
    <w:rsid w:val="009D2D1D"/>
    <w:rsid w:val="009D3025"/>
    <w:rsid w:val="009D3199"/>
    <w:rsid w:val="009D337F"/>
    <w:rsid w:val="009D35BF"/>
    <w:rsid w:val="009D3993"/>
    <w:rsid w:val="009D3D7C"/>
    <w:rsid w:val="009D4386"/>
    <w:rsid w:val="009D4913"/>
    <w:rsid w:val="009D4A96"/>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4B0"/>
    <w:rsid w:val="009D7711"/>
    <w:rsid w:val="009D77C0"/>
    <w:rsid w:val="009D7893"/>
    <w:rsid w:val="009D7E82"/>
    <w:rsid w:val="009E0096"/>
    <w:rsid w:val="009E0152"/>
    <w:rsid w:val="009E0A94"/>
    <w:rsid w:val="009E0D45"/>
    <w:rsid w:val="009E0ED2"/>
    <w:rsid w:val="009E0EF9"/>
    <w:rsid w:val="009E1568"/>
    <w:rsid w:val="009E15D3"/>
    <w:rsid w:val="009E171E"/>
    <w:rsid w:val="009E1821"/>
    <w:rsid w:val="009E199D"/>
    <w:rsid w:val="009E1A21"/>
    <w:rsid w:val="009E24F6"/>
    <w:rsid w:val="009E26D1"/>
    <w:rsid w:val="009E27A7"/>
    <w:rsid w:val="009E2A13"/>
    <w:rsid w:val="009E2A9F"/>
    <w:rsid w:val="009E2C1A"/>
    <w:rsid w:val="009E2C89"/>
    <w:rsid w:val="009E2FCC"/>
    <w:rsid w:val="009E301B"/>
    <w:rsid w:val="009E334B"/>
    <w:rsid w:val="009E35B0"/>
    <w:rsid w:val="009E38B5"/>
    <w:rsid w:val="009E3AAD"/>
    <w:rsid w:val="009E3BDC"/>
    <w:rsid w:val="009E3D3B"/>
    <w:rsid w:val="009E40F2"/>
    <w:rsid w:val="009E4413"/>
    <w:rsid w:val="009E45A3"/>
    <w:rsid w:val="009E45CC"/>
    <w:rsid w:val="009E46D8"/>
    <w:rsid w:val="009E48CD"/>
    <w:rsid w:val="009E4BD1"/>
    <w:rsid w:val="009E51DD"/>
    <w:rsid w:val="009E5207"/>
    <w:rsid w:val="009E542B"/>
    <w:rsid w:val="009E55D6"/>
    <w:rsid w:val="009E5645"/>
    <w:rsid w:val="009E5663"/>
    <w:rsid w:val="009E57C7"/>
    <w:rsid w:val="009E5F18"/>
    <w:rsid w:val="009E6BC6"/>
    <w:rsid w:val="009E6C00"/>
    <w:rsid w:val="009E6D0E"/>
    <w:rsid w:val="009E6DC2"/>
    <w:rsid w:val="009E6DC4"/>
    <w:rsid w:val="009E6E7A"/>
    <w:rsid w:val="009E7036"/>
    <w:rsid w:val="009E728B"/>
    <w:rsid w:val="009E7377"/>
    <w:rsid w:val="009E79AF"/>
    <w:rsid w:val="009E7E35"/>
    <w:rsid w:val="009F01C7"/>
    <w:rsid w:val="009F04CA"/>
    <w:rsid w:val="009F1094"/>
    <w:rsid w:val="009F119D"/>
    <w:rsid w:val="009F1782"/>
    <w:rsid w:val="009F179E"/>
    <w:rsid w:val="009F195B"/>
    <w:rsid w:val="009F1F53"/>
    <w:rsid w:val="009F20C3"/>
    <w:rsid w:val="009F2553"/>
    <w:rsid w:val="009F2597"/>
    <w:rsid w:val="009F2971"/>
    <w:rsid w:val="009F2D2F"/>
    <w:rsid w:val="009F3297"/>
    <w:rsid w:val="009F3562"/>
    <w:rsid w:val="009F39B3"/>
    <w:rsid w:val="009F3A0F"/>
    <w:rsid w:val="009F3B06"/>
    <w:rsid w:val="009F3BBB"/>
    <w:rsid w:val="009F3C77"/>
    <w:rsid w:val="009F3C83"/>
    <w:rsid w:val="009F3CBA"/>
    <w:rsid w:val="009F3D38"/>
    <w:rsid w:val="009F3F04"/>
    <w:rsid w:val="009F415E"/>
    <w:rsid w:val="009F458D"/>
    <w:rsid w:val="009F47BC"/>
    <w:rsid w:val="009F4C27"/>
    <w:rsid w:val="009F4CC3"/>
    <w:rsid w:val="009F4CE5"/>
    <w:rsid w:val="009F566E"/>
    <w:rsid w:val="009F583C"/>
    <w:rsid w:val="009F5C3D"/>
    <w:rsid w:val="009F5FD6"/>
    <w:rsid w:val="009F60B3"/>
    <w:rsid w:val="009F6449"/>
    <w:rsid w:val="009F6450"/>
    <w:rsid w:val="009F68B6"/>
    <w:rsid w:val="009F711D"/>
    <w:rsid w:val="009F7264"/>
    <w:rsid w:val="009F73F2"/>
    <w:rsid w:val="009F74B5"/>
    <w:rsid w:val="009F75A6"/>
    <w:rsid w:val="009F7C05"/>
    <w:rsid w:val="009F7CDC"/>
    <w:rsid w:val="009F7F28"/>
    <w:rsid w:val="009F7F91"/>
    <w:rsid w:val="00A00535"/>
    <w:rsid w:val="00A0057C"/>
    <w:rsid w:val="00A0059D"/>
    <w:rsid w:val="00A007DD"/>
    <w:rsid w:val="00A009C4"/>
    <w:rsid w:val="00A009E2"/>
    <w:rsid w:val="00A01078"/>
    <w:rsid w:val="00A011FA"/>
    <w:rsid w:val="00A012B5"/>
    <w:rsid w:val="00A0133B"/>
    <w:rsid w:val="00A013BA"/>
    <w:rsid w:val="00A01490"/>
    <w:rsid w:val="00A016F9"/>
    <w:rsid w:val="00A01EA9"/>
    <w:rsid w:val="00A01F0D"/>
    <w:rsid w:val="00A02068"/>
    <w:rsid w:val="00A0218A"/>
    <w:rsid w:val="00A0224F"/>
    <w:rsid w:val="00A022C7"/>
    <w:rsid w:val="00A02376"/>
    <w:rsid w:val="00A02424"/>
    <w:rsid w:val="00A02688"/>
    <w:rsid w:val="00A02AAA"/>
    <w:rsid w:val="00A02B23"/>
    <w:rsid w:val="00A02BCB"/>
    <w:rsid w:val="00A02D72"/>
    <w:rsid w:val="00A02FEE"/>
    <w:rsid w:val="00A03496"/>
    <w:rsid w:val="00A037EB"/>
    <w:rsid w:val="00A0391E"/>
    <w:rsid w:val="00A0437F"/>
    <w:rsid w:val="00A047C7"/>
    <w:rsid w:val="00A049F3"/>
    <w:rsid w:val="00A049F4"/>
    <w:rsid w:val="00A04D9D"/>
    <w:rsid w:val="00A04F3B"/>
    <w:rsid w:val="00A055A7"/>
    <w:rsid w:val="00A0590B"/>
    <w:rsid w:val="00A05C5C"/>
    <w:rsid w:val="00A0607E"/>
    <w:rsid w:val="00A061BE"/>
    <w:rsid w:val="00A0622B"/>
    <w:rsid w:val="00A06282"/>
    <w:rsid w:val="00A06BFC"/>
    <w:rsid w:val="00A07167"/>
    <w:rsid w:val="00A071AA"/>
    <w:rsid w:val="00A0720D"/>
    <w:rsid w:val="00A0746A"/>
    <w:rsid w:val="00A07654"/>
    <w:rsid w:val="00A07871"/>
    <w:rsid w:val="00A078C7"/>
    <w:rsid w:val="00A078E4"/>
    <w:rsid w:val="00A07AB6"/>
    <w:rsid w:val="00A07ACA"/>
    <w:rsid w:val="00A07ADE"/>
    <w:rsid w:val="00A07B13"/>
    <w:rsid w:val="00A07DAA"/>
    <w:rsid w:val="00A07F33"/>
    <w:rsid w:val="00A10513"/>
    <w:rsid w:val="00A10593"/>
    <w:rsid w:val="00A10749"/>
    <w:rsid w:val="00A10924"/>
    <w:rsid w:val="00A10BBB"/>
    <w:rsid w:val="00A10C3F"/>
    <w:rsid w:val="00A10CB9"/>
    <w:rsid w:val="00A1112A"/>
    <w:rsid w:val="00A1158B"/>
    <w:rsid w:val="00A117A2"/>
    <w:rsid w:val="00A11D7F"/>
    <w:rsid w:val="00A11DA6"/>
    <w:rsid w:val="00A121AA"/>
    <w:rsid w:val="00A121C0"/>
    <w:rsid w:val="00A121C1"/>
    <w:rsid w:val="00A1227D"/>
    <w:rsid w:val="00A122C3"/>
    <w:rsid w:val="00A1269F"/>
    <w:rsid w:val="00A129E9"/>
    <w:rsid w:val="00A12BF3"/>
    <w:rsid w:val="00A13168"/>
    <w:rsid w:val="00A133BD"/>
    <w:rsid w:val="00A133D3"/>
    <w:rsid w:val="00A13428"/>
    <w:rsid w:val="00A1365E"/>
    <w:rsid w:val="00A13734"/>
    <w:rsid w:val="00A13936"/>
    <w:rsid w:val="00A13A2A"/>
    <w:rsid w:val="00A13D19"/>
    <w:rsid w:val="00A13EA8"/>
    <w:rsid w:val="00A14073"/>
    <w:rsid w:val="00A142CE"/>
    <w:rsid w:val="00A14B96"/>
    <w:rsid w:val="00A14E15"/>
    <w:rsid w:val="00A14FA8"/>
    <w:rsid w:val="00A15261"/>
    <w:rsid w:val="00A152E8"/>
    <w:rsid w:val="00A157A2"/>
    <w:rsid w:val="00A1586A"/>
    <w:rsid w:val="00A158A6"/>
    <w:rsid w:val="00A15925"/>
    <w:rsid w:val="00A15995"/>
    <w:rsid w:val="00A15A93"/>
    <w:rsid w:val="00A15D53"/>
    <w:rsid w:val="00A15DE5"/>
    <w:rsid w:val="00A15FC1"/>
    <w:rsid w:val="00A16333"/>
    <w:rsid w:val="00A16832"/>
    <w:rsid w:val="00A1693A"/>
    <w:rsid w:val="00A16A4C"/>
    <w:rsid w:val="00A16E80"/>
    <w:rsid w:val="00A171B9"/>
    <w:rsid w:val="00A20025"/>
    <w:rsid w:val="00A2089C"/>
    <w:rsid w:val="00A208B8"/>
    <w:rsid w:val="00A209C2"/>
    <w:rsid w:val="00A20D11"/>
    <w:rsid w:val="00A20D2E"/>
    <w:rsid w:val="00A20EE3"/>
    <w:rsid w:val="00A21741"/>
    <w:rsid w:val="00A21B43"/>
    <w:rsid w:val="00A21C30"/>
    <w:rsid w:val="00A21E12"/>
    <w:rsid w:val="00A21EDB"/>
    <w:rsid w:val="00A21FB9"/>
    <w:rsid w:val="00A22468"/>
    <w:rsid w:val="00A226E6"/>
    <w:rsid w:val="00A227CD"/>
    <w:rsid w:val="00A22D0D"/>
    <w:rsid w:val="00A22DF1"/>
    <w:rsid w:val="00A22E52"/>
    <w:rsid w:val="00A22EBA"/>
    <w:rsid w:val="00A232E7"/>
    <w:rsid w:val="00A233F2"/>
    <w:rsid w:val="00A238CC"/>
    <w:rsid w:val="00A23978"/>
    <w:rsid w:val="00A23B10"/>
    <w:rsid w:val="00A23C1A"/>
    <w:rsid w:val="00A23CC8"/>
    <w:rsid w:val="00A23CF2"/>
    <w:rsid w:val="00A23DFC"/>
    <w:rsid w:val="00A23E28"/>
    <w:rsid w:val="00A23F76"/>
    <w:rsid w:val="00A241A7"/>
    <w:rsid w:val="00A24289"/>
    <w:rsid w:val="00A242B2"/>
    <w:rsid w:val="00A243EE"/>
    <w:rsid w:val="00A2444F"/>
    <w:rsid w:val="00A24560"/>
    <w:rsid w:val="00A247CD"/>
    <w:rsid w:val="00A24D0E"/>
    <w:rsid w:val="00A24DDE"/>
    <w:rsid w:val="00A25225"/>
    <w:rsid w:val="00A2522E"/>
    <w:rsid w:val="00A2535B"/>
    <w:rsid w:val="00A2540B"/>
    <w:rsid w:val="00A2574F"/>
    <w:rsid w:val="00A25AF4"/>
    <w:rsid w:val="00A25FB4"/>
    <w:rsid w:val="00A25FF9"/>
    <w:rsid w:val="00A26236"/>
    <w:rsid w:val="00A2631D"/>
    <w:rsid w:val="00A263E1"/>
    <w:rsid w:val="00A2658F"/>
    <w:rsid w:val="00A2699F"/>
    <w:rsid w:val="00A26A1E"/>
    <w:rsid w:val="00A26D34"/>
    <w:rsid w:val="00A26DE2"/>
    <w:rsid w:val="00A26FE4"/>
    <w:rsid w:val="00A27272"/>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50"/>
    <w:rsid w:val="00A30E9C"/>
    <w:rsid w:val="00A31033"/>
    <w:rsid w:val="00A313F7"/>
    <w:rsid w:val="00A31785"/>
    <w:rsid w:val="00A317FB"/>
    <w:rsid w:val="00A3180A"/>
    <w:rsid w:val="00A318A3"/>
    <w:rsid w:val="00A31AC6"/>
    <w:rsid w:val="00A3206A"/>
    <w:rsid w:val="00A32AD1"/>
    <w:rsid w:val="00A32F9B"/>
    <w:rsid w:val="00A3329D"/>
    <w:rsid w:val="00A33388"/>
    <w:rsid w:val="00A33572"/>
    <w:rsid w:val="00A33D68"/>
    <w:rsid w:val="00A33E21"/>
    <w:rsid w:val="00A33F92"/>
    <w:rsid w:val="00A3421F"/>
    <w:rsid w:val="00A34315"/>
    <w:rsid w:val="00A344C8"/>
    <w:rsid w:val="00A34915"/>
    <w:rsid w:val="00A34F9D"/>
    <w:rsid w:val="00A35189"/>
    <w:rsid w:val="00A35222"/>
    <w:rsid w:val="00A35F08"/>
    <w:rsid w:val="00A36038"/>
    <w:rsid w:val="00A360F7"/>
    <w:rsid w:val="00A362C2"/>
    <w:rsid w:val="00A36397"/>
    <w:rsid w:val="00A365A2"/>
    <w:rsid w:val="00A36AD1"/>
    <w:rsid w:val="00A36D25"/>
    <w:rsid w:val="00A36EF0"/>
    <w:rsid w:val="00A376FA"/>
    <w:rsid w:val="00A37D6A"/>
    <w:rsid w:val="00A37E78"/>
    <w:rsid w:val="00A40238"/>
    <w:rsid w:val="00A402CF"/>
    <w:rsid w:val="00A4030B"/>
    <w:rsid w:val="00A403FA"/>
    <w:rsid w:val="00A4043C"/>
    <w:rsid w:val="00A40545"/>
    <w:rsid w:val="00A4064F"/>
    <w:rsid w:val="00A40FC0"/>
    <w:rsid w:val="00A413AC"/>
    <w:rsid w:val="00A418C4"/>
    <w:rsid w:val="00A41937"/>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FB"/>
    <w:rsid w:val="00A4485B"/>
    <w:rsid w:val="00A44BC9"/>
    <w:rsid w:val="00A44F34"/>
    <w:rsid w:val="00A45996"/>
    <w:rsid w:val="00A45E83"/>
    <w:rsid w:val="00A45EBE"/>
    <w:rsid w:val="00A4609C"/>
    <w:rsid w:val="00A46562"/>
    <w:rsid w:val="00A46638"/>
    <w:rsid w:val="00A46773"/>
    <w:rsid w:val="00A46784"/>
    <w:rsid w:val="00A468D6"/>
    <w:rsid w:val="00A46A25"/>
    <w:rsid w:val="00A46CC8"/>
    <w:rsid w:val="00A46D67"/>
    <w:rsid w:val="00A46E65"/>
    <w:rsid w:val="00A46EC4"/>
    <w:rsid w:val="00A47002"/>
    <w:rsid w:val="00A470DD"/>
    <w:rsid w:val="00A470F1"/>
    <w:rsid w:val="00A47506"/>
    <w:rsid w:val="00A47927"/>
    <w:rsid w:val="00A47A87"/>
    <w:rsid w:val="00A47B62"/>
    <w:rsid w:val="00A47C9C"/>
    <w:rsid w:val="00A47E5F"/>
    <w:rsid w:val="00A47E70"/>
    <w:rsid w:val="00A501CD"/>
    <w:rsid w:val="00A50609"/>
    <w:rsid w:val="00A5075A"/>
    <w:rsid w:val="00A507A1"/>
    <w:rsid w:val="00A50A6A"/>
    <w:rsid w:val="00A50EE8"/>
    <w:rsid w:val="00A50F74"/>
    <w:rsid w:val="00A512EE"/>
    <w:rsid w:val="00A51445"/>
    <w:rsid w:val="00A51606"/>
    <w:rsid w:val="00A51951"/>
    <w:rsid w:val="00A51E60"/>
    <w:rsid w:val="00A523EA"/>
    <w:rsid w:val="00A52426"/>
    <w:rsid w:val="00A52897"/>
    <w:rsid w:val="00A529CC"/>
    <w:rsid w:val="00A52C00"/>
    <w:rsid w:val="00A52C7C"/>
    <w:rsid w:val="00A52D1F"/>
    <w:rsid w:val="00A52EA6"/>
    <w:rsid w:val="00A530C1"/>
    <w:rsid w:val="00A53968"/>
    <w:rsid w:val="00A53C4E"/>
    <w:rsid w:val="00A541E1"/>
    <w:rsid w:val="00A54E67"/>
    <w:rsid w:val="00A54FF3"/>
    <w:rsid w:val="00A55128"/>
    <w:rsid w:val="00A554DD"/>
    <w:rsid w:val="00A55660"/>
    <w:rsid w:val="00A5569A"/>
    <w:rsid w:val="00A55834"/>
    <w:rsid w:val="00A55835"/>
    <w:rsid w:val="00A55B56"/>
    <w:rsid w:val="00A55C38"/>
    <w:rsid w:val="00A55DA1"/>
    <w:rsid w:val="00A55E72"/>
    <w:rsid w:val="00A55F68"/>
    <w:rsid w:val="00A560CC"/>
    <w:rsid w:val="00A5611F"/>
    <w:rsid w:val="00A5650E"/>
    <w:rsid w:val="00A5658C"/>
    <w:rsid w:val="00A56722"/>
    <w:rsid w:val="00A56B04"/>
    <w:rsid w:val="00A56E40"/>
    <w:rsid w:val="00A570EF"/>
    <w:rsid w:val="00A5711A"/>
    <w:rsid w:val="00A573AB"/>
    <w:rsid w:val="00A573C5"/>
    <w:rsid w:val="00A579AA"/>
    <w:rsid w:val="00A57BEE"/>
    <w:rsid w:val="00A57E9F"/>
    <w:rsid w:val="00A57FE2"/>
    <w:rsid w:val="00A60071"/>
    <w:rsid w:val="00A60684"/>
    <w:rsid w:val="00A60742"/>
    <w:rsid w:val="00A60DAE"/>
    <w:rsid w:val="00A60DE1"/>
    <w:rsid w:val="00A61357"/>
    <w:rsid w:val="00A61544"/>
    <w:rsid w:val="00A61871"/>
    <w:rsid w:val="00A618B3"/>
    <w:rsid w:val="00A61D78"/>
    <w:rsid w:val="00A61DAC"/>
    <w:rsid w:val="00A61FBB"/>
    <w:rsid w:val="00A62023"/>
    <w:rsid w:val="00A62240"/>
    <w:rsid w:val="00A62248"/>
    <w:rsid w:val="00A623DD"/>
    <w:rsid w:val="00A6243A"/>
    <w:rsid w:val="00A624A9"/>
    <w:rsid w:val="00A6268B"/>
    <w:rsid w:val="00A626AF"/>
    <w:rsid w:val="00A62792"/>
    <w:rsid w:val="00A62B37"/>
    <w:rsid w:val="00A632EB"/>
    <w:rsid w:val="00A63615"/>
    <w:rsid w:val="00A638C7"/>
    <w:rsid w:val="00A638D5"/>
    <w:rsid w:val="00A63C72"/>
    <w:rsid w:val="00A63E58"/>
    <w:rsid w:val="00A63F43"/>
    <w:rsid w:val="00A645A1"/>
    <w:rsid w:val="00A647FB"/>
    <w:rsid w:val="00A64839"/>
    <w:rsid w:val="00A648F1"/>
    <w:rsid w:val="00A64A17"/>
    <w:rsid w:val="00A64D99"/>
    <w:rsid w:val="00A64F6B"/>
    <w:rsid w:val="00A654B1"/>
    <w:rsid w:val="00A656AC"/>
    <w:rsid w:val="00A65B7B"/>
    <w:rsid w:val="00A65C0C"/>
    <w:rsid w:val="00A65DE5"/>
    <w:rsid w:val="00A6628D"/>
    <w:rsid w:val="00A66499"/>
    <w:rsid w:val="00A6657B"/>
    <w:rsid w:val="00A66685"/>
    <w:rsid w:val="00A66858"/>
    <w:rsid w:val="00A66B64"/>
    <w:rsid w:val="00A66EC4"/>
    <w:rsid w:val="00A66F29"/>
    <w:rsid w:val="00A67026"/>
    <w:rsid w:val="00A671CE"/>
    <w:rsid w:val="00A672DF"/>
    <w:rsid w:val="00A67488"/>
    <w:rsid w:val="00A67544"/>
    <w:rsid w:val="00A676B2"/>
    <w:rsid w:val="00A677DD"/>
    <w:rsid w:val="00A678D6"/>
    <w:rsid w:val="00A678E8"/>
    <w:rsid w:val="00A67960"/>
    <w:rsid w:val="00A67D6E"/>
    <w:rsid w:val="00A67E4A"/>
    <w:rsid w:val="00A70963"/>
    <w:rsid w:val="00A71033"/>
    <w:rsid w:val="00A7112F"/>
    <w:rsid w:val="00A711B8"/>
    <w:rsid w:val="00A71B9D"/>
    <w:rsid w:val="00A71DC7"/>
    <w:rsid w:val="00A71FE2"/>
    <w:rsid w:val="00A720D2"/>
    <w:rsid w:val="00A7223B"/>
    <w:rsid w:val="00A724E6"/>
    <w:rsid w:val="00A7250A"/>
    <w:rsid w:val="00A72518"/>
    <w:rsid w:val="00A725DB"/>
    <w:rsid w:val="00A72AFA"/>
    <w:rsid w:val="00A72B2F"/>
    <w:rsid w:val="00A72C28"/>
    <w:rsid w:val="00A72C4C"/>
    <w:rsid w:val="00A72D3A"/>
    <w:rsid w:val="00A72DE1"/>
    <w:rsid w:val="00A72E12"/>
    <w:rsid w:val="00A73034"/>
    <w:rsid w:val="00A730E8"/>
    <w:rsid w:val="00A73191"/>
    <w:rsid w:val="00A73655"/>
    <w:rsid w:val="00A73ADF"/>
    <w:rsid w:val="00A73BFE"/>
    <w:rsid w:val="00A7409D"/>
    <w:rsid w:val="00A740DE"/>
    <w:rsid w:val="00A741BA"/>
    <w:rsid w:val="00A74246"/>
    <w:rsid w:val="00A74324"/>
    <w:rsid w:val="00A7441E"/>
    <w:rsid w:val="00A74545"/>
    <w:rsid w:val="00A74D34"/>
    <w:rsid w:val="00A75181"/>
    <w:rsid w:val="00A753D2"/>
    <w:rsid w:val="00A75650"/>
    <w:rsid w:val="00A758D0"/>
    <w:rsid w:val="00A75AC3"/>
    <w:rsid w:val="00A75AD0"/>
    <w:rsid w:val="00A75C0C"/>
    <w:rsid w:val="00A75F67"/>
    <w:rsid w:val="00A76036"/>
    <w:rsid w:val="00A760A3"/>
    <w:rsid w:val="00A7613D"/>
    <w:rsid w:val="00A766B8"/>
    <w:rsid w:val="00A767BB"/>
    <w:rsid w:val="00A76973"/>
    <w:rsid w:val="00A76980"/>
    <w:rsid w:val="00A76B94"/>
    <w:rsid w:val="00A76EF3"/>
    <w:rsid w:val="00A774BE"/>
    <w:rsid w:val="00A77571"/>
    <w:rsid w:val="00A77BC8"/>
    <w:rsid w:val="00A77C2B"/>
    <w:rsid w:val="00A80343"/>
    <w:rsid w:val="00A80394"/>
    <w:rsid w:val="00A80413"/>
    <w:rsid w:val="00A8096A"/>
    <w:rsid w:val="00A80B26"/>
    <w:rsid w:val="00A80DA1"/>
    <w:rsid w:val="00A80FA1"/>
    <w:rsid w:val="00A81743"/>
    <w:rsid w:val="00A81A57"/>
    <w:rsid w:val="00A81C95"/>
    <w:rsid w:val="00A8205B"/>
    <w:rsid w:val="00A82416"/>
    <w:rsid w:val="00A8251F"/>
    <w:rsid w:val="00A8255B"/>
    <w:rsid w:val="00A826CA"/>
    <w:rsid w:val="00A82733"/>
    <w:rsid w:val="00A829BA"/>
    <w:rsid w:val="00A82A9B"/>
    <w:rsid w:val="00A82C18"/>
    <w:rsid w:val="00A82C54"/>
    <w:rsid w:val="00A82F8B"/>
    <w:rsid w:val="00A8301A"/>
    <w:rsid w:val="00A83210"/>
    <w:rsid w:val="00A83254"/>
    <w:rsid w:val="00A8340F"/>
    <w:rsid w:val="00A834CA"/>
    <w:rsid w:val="00A83501"/>
    <w:rsid w:val="00A837FB"/>
    <w:rsid w:val="00A83E60"/>
    <w:rsid w:val="00A83E7D"/>
    <w:rsid w:val="00A83EB5"/>
    <w:rsid w:val="00A83ED4"/>
    <w:rsid w:val="00A840CC"/>
    <w:rsid w:val="00A84104"/>
    <w:rsid w:val="00A842FD"/>
    <w:rsid w:val="00A843A2"/>
    <w:rsid w:val="00A843F3"/>
    <w:rsid w:val="00A845C4"/>
    <w:rsid w:val="00A848B7"/>
    <w:rsid w:val="00A849D6"/>
    <w:rsid w:val="00A84C00"/>
    <w:rsid w:val="00A84E28"/>
    <w:rsid w:val="00A84E3B"/>
    <w:rsid w:val="00A84E71"/>
    <w:rsid w:val="00A84F3E"/>
    <w:rsid w:val="00A85838"/>
    <w:rsid w:val="00A858E8"/>
    <w:rsid w:val="00A85F3A"/>
    <w:rsid w:val="00A863BB"/>
    <w:rsid w:val="00A863EE"/>
    <w:rsid w:val="00A8681C"/>
    <w:rsid w:val="00A86A11"/>
    <w:rsid w:val="00A87409"/>
    <w:rsid w:val="00A875B5"/>
    <w:rsid w:val="00A87862"/>
    <w:rsid w:val="00A878F7"/>
    <w:rsid w:val="00A879FD"/>
    <w:rsid w:val="00A87B08"/>
    <w:rsid w:val="00A87E09"/>
    <w:rsid w:val="00A90298"/>
    <w:rsid w:val="00A902D0"/>
    <w:rsid w:val="00A904EB"/>
    <w:rsid w:val="00A90654"/>
    <w:rsid w:val="00A9066E"/>
    <w:rsid w:val="00A90A56"/>
    <w:rsid w:val="00A90DA9"/>
    <w:rsid w:val="00A90F87"/>
    <w:rsid w:val="00A9101C"/>
    <w:rsid w:val="00A9108A"/>
    <w:rsid w:val="00A910C5"/>
    <w:rsid w:val="00A913B1"/>
    <w:rsid w:val="00A914B1"/>
    <w:rsid w:val="00A91517"/>
    <w:rsid w:val="00A915CC"/>
    <w:rsid w:val="00A9185C"/>
    <w:rsid w:val="00A91CB4"/>
    <w:rsid w:val="00A91CFB"/>
    <w:rsid w:val="00A91CFF"/>
    <w:rsid w:val="00A91EC2"/>
    <w:rsid w:val="00A9209D"/>
    <w:rsid w:val="00A9231F"/>
    <w:rsid w:val="00A92323"/>
    <w:rsid w:val="00A925AF"/>
    <w:rsid w:val="00A92616"/>
    <w:rsid w:val="00A928E5"/>
    <w:rsid w:val="00A93079"/>
    <w:rsid w:val="00A93176"/>
    <w:rsid w:val="00A9322C"/>
    <w:rsid w:val="00A934D0"/>
    <w:rsid w:val="00A93651"/>
    <w:rsid w:val="00A93BAF"/>
    <w:rsid w:val="00A93BC4"/>
    <w:rsid w:val="00A94044"/>
    <w:rsid w:val="00A94392"/>
    <w:rsid w:val="00A94443"/>
    <w:rsid w:val="00A945E6"/>
    <w:rsid w:val="00A945F9"/>
    <w:rsid w:val="00A94B88"/>
    <w:rsid w:val="00A94CBC"/>
    <w:rsid w:val="00A9559B"/>
    <w:rsid w:val="00A955AA"/>
    <w:rsid w:val="00A9573F"/>
    <w:rsid w:val="00A95754"/>
    <w:rsid w:val="00A95BE5"/>
    <w:rsid w:val="00A96078"/>
    <w:rsid w:val="00A960D2"/>
    <w:rsid w:val="00A96321"/>
    <w:rsid w:val="00A9668B"/>
    <w:rsid w:val="00A9669F"/>
    <w:rsid w:val="00A9686F"/>
    <w:rsid w:val="00A96C77"/>
    <w:rsid w:val="00A96DE4"/>
    <w:rsid w:val="00A971EB"/>
    <w:rsid w:val="00A9721B"/>
    <w:rsid w:val="00A97262"/>
    <w:rsid w:val="00A97400"/>
    <w:rsid w:val="00A974DE"/>
    <w:rsid w:val="00A97A37"/>
    <w:rsid w:val="00A97C0E"/>
    <w:rsid w:val="00AA0027"/>
    <w:rsid w:val="00AA08AC"/>
    <w:rsid w:val="00AA08DF"/>
    <w:rsid w:val="00AA0B13"/>
    <w:rsid w:val="00AA0CCA"/>
    <w:rsid w:val="00AA13A1"/>
    <w:rsid w:val="00AA1AD8"/>
    <w:rsid w:val="00AA1D2B"/>
    <w:rsid w:val="00AA1F36"/>
    <w:rsid w:val="00AA230F"/>
    <w:rsid w:val="00AA23EB"/>
    <w:rsid w:val="00AA244A"/>
    <w:rsid w:val="00AA24F6"/>
    <w:rsid w:val="00AA25BE"/>
    <w:rsid w:val="00AA2784"/>
    <w:rsid w:val="00AA28FF"/>
    <w:rsid w:val="00AA2E12"/>
    <w:rsid w:val="00AA2EE6"/>
    <w:rsid w:val="00AA3455"/>
    <w:rsid w:val="00AA35F0"/>
    <w:rsid w:val="00AA38A5"/>
    <w:rsid w:val="00AA3A7F"/>
    <w:rsid w:val="00AA3C48"/>
    <w:rsid w:val="00AA3EA4"/>
    <w:rsid w:val="00AA402C"/>
    <w:rsid w:val="00AA4126"/>
    <w:rsid w:val="00AA4C5E"/>
    <w:rsid w:val="00AA4E8B"/>
    <w:rsid w:val="00AA56E5"/>
    <w:rsid w:val="00AA61D2"/>
    <w:rsid w:val="00AA6323"/>
    <w:rsid w:val="00AA668E"/>
    <w:rsid w:val="00AA68DD"/>
    <w:rsid w:val="00AA6AF3"/>
    <w:rsid w:val="00AA6BE1"/>
    <w:rsid w:val="00AA6C99"/>
    <w:rsid w:val="00AA73DA"/>
    <w:rsid w:val="00AA7565"/>
    <w:rsid w:val="00AA7CC8"/>
    <w:rsid w:val="00AA7D24"/>
    <w:rsid w:val="00AA7DFA"/>
    <w:rsid w:val="00AA7E76"/>
    <w:rsid w:val="00AB0043"/>
    <w:rsid w:val="00AB0316"/>
    <w:rsid w:val="00AB0334"/>
    <w:rsid w:val="00AB057B"/>
    <w:rsid w:val="00AB07B8"/>
    <w:rsid w:val="00AB0B30"/>
    <w:rsid w:val="00AB14D2"/>
    <w:rsid w:val="00AB14F0"/>
    <w:rsid w:val="00AB1F49"/>
    <w:rsid w:val="00AB2155"/>
    <w:rsid w:val="00AB2167"/>
    <w:rsid w:val="00AB2179"/>
    <w:rsid w:val="00AB22EB"/>
    <w:rsid w:val="00AB24AC"/>
    <w:rsid w:val="00AB2A1E"/>
    <w:rsid w:val="00AB2C8C"/>
    <w:rsid w:val="00AB319E"/>
    <w:rsid w:val="00AB358B"/>
    <w:rsid w:val="00AB3629"/>
    <w:rsid w:val="00AB37CE"/>
    <w:rsid w:val="00AB380E"/>
    <w:rsid w:val="00AB3ACF"/>
    <w:rsid w:val="00AB3CC4"/>
    <w:rsid w:val="00AB3D56"/>
    <w:rsid w:val="00AB3ED6"/>
    <w:rsid w:val="00AB4399"/>
    <w:rsid w:val="00AB4835"/>
    <w:rsid w:val="00AB4891"/>
    <w:rsid w:val="00AB4A75"/>
    <w:rsid w:val="00AB4BCB"/>
    <w:rsid w:val="00AB4C4E"/>
    <w:rsid w:val="00AB4CFE"/>
    <w:rsid w:val="00AB4F11"/>
    <w:rsid w:val="00AB502E"/>
    <w:rsid w:val="00AB525D"/>
    <w:rsid w:val="00AB52BF"/>
    <w:rsid w:val="00AB52FE"/>
    <w:rsid w:val="00AB5628"/>
    <w:rsid w:val="00AB566E"/>
    <w:rsid w:val="00AB5C2D"/>
    <w:rsid w:val="00AB5F16"/>
    <w:rsid w:val="00AB631D"/>
    <w:rsid w:val="00AB64FE"/>
    <w:rsid w:val="00AB6614"/>
    <w:rsid w:val="00AB681F"/>
    <w:rsid w:val="00AB68DF"/>
    <w:rsid w:val="00AB6AF0"/>
    <w:rsid w:val="00AB6C21"/>
    <w:rsid w:val="00AB6C24"/>
    <w:rsid w:val="00AB6C3A"/>
    <w:rsid w:val="00AB7130"/>
    <w:rsid w:val="00AB714A"/>
    <w:rsid w:val="00AB72CA"/>
    <w:rsid w:val="00AB75C3"/>
    <w:rsid w:val="00AB7B5F"/>
    <w:rsid w:val="00AB7C77"/>
    <w:rsid w:val="00AC0000"/>
    <w:rsid w:val="00AC0052"/>
    <w:rsid w:val="00AC044A"/>
    <w:rsid w:val="00AC0AFE"/>
    <w:rsid w:val="00AC101A"/>
    <w:rsid w:val="00AC1859"/>
    <w:rsid w:val="00AC1BBD"/>
    <w:rsid w:val="00AC1C27"/>
    <w:rsid w:val="00AC1E2A"/>
    <w:rsid w:val="00AC1E91"/>
    <w:rsid w:val="00AC1EE0"/>
    <w:rsid w:val="00AC28F9"/>
    <w:rsid w:val="00AC2B26"/>
    <w:rsid w:val="00AC2FEF"/>
    <w:rsid w:val="00AC3148"/>
    <w:rsid w:val="00AC32AC"/>
    <w:rsid w:val="00AC36F5"/>
    <w:rsid w:val="00AC3800"/>
    <w:rsid w:val="00AC3B7D"/>
    <w:rsid w:val="00AC3CBF"/>
    <w:rsid w:val="00AC4067"/>
    <w:rsid w:val="00AC4188"/>
    <w:rsid w:val="00AC4402"/>
    <w:rsid w:val="00AC45D2"/>
    <w:rsid w:val="00AC4DF1"/>
    <w:rsid w:val="00AC4EEC"/>
    <w:rsid w:val="00AC51EE"/>
    <w:rsid w:val="00AC5366"/>
    <w:rsid w:val="00AC5697"/>
    <w:rsid w:val="00AC580B"/>
    <w:rsid w:val="00AC5B85"/>
    <w:rsid w:val="00AC5B98"/>
    <w:rsid w:val="00AC5CBB"/>
    <w:rsid w:val="00AC5E37"/>
    <w:rsid w:val="00AC6137"/>
    <w:rsid w:val="00AC6156"/>
    <w:rsid w:val="00AC6324"/>
    <w:rsid w:val="00AC6491"/>
    <w:rsid w:val="00AC6556"/>
    <w:rsid w:val="00AC6784"/>
    <w:rsid w:val="00AC70C3"/>
    <w:rsid w:val="00AC7344"/>
    <w:rsid w:val="00AC73F7"/>
    <w:rsid w:val="00AC7630"/>
    <w:rsid w:val="00AC79FC"/>
    <w:rsid w:val="00AC7AB6"/>
    <w:rsid w:val="00AC7C91"/>
    <w:rsid w:val="00AD00D0"/>
    <w:rsid w:val="00AD00D8"/>
    <w:rsid w:val="00AD0106"/>
    <w:rsid w:val="00AD015F"/>
    <w:rsid w:val="00AD0311"/>
    <w:rsid w:val="00AD0483"/>
    <w:rsid w:val="00AD0624"/>
    <w:rsid w:val="00AD0672"/>
    <w:rsid w:val="00AD0751"/>
    <w:rsid w:val="00AD09A4"/>
    <w:rsid w:val="00AD0A96"/>
    <w:rsid w:val="00AD0C72"/>
    <w:rsid w:val="00AD0DCD"/>
    <w:rsid w:val="00AD1444"/>
    <w:rsid w:val="00AD1542"/>
    <w:rsid w:val="00AD1841"/>
    <w:rsid w:val="00AD199D"/>
    <w:rsid w:val="00AD1BBF"/>
    <w:rsid w:val="00AD1CF7"/>
    <w:rsid w:val="00AD1E63"/>
    <w:rsid w:val="00AD1EF8"/>
    <w:rsid w:val="00AD2379"/>
    <w:rsid w:val="00AD262A"/>
    <w:rsid w:val="00AD26AA"/>
    <w:rsid w:val="00AD2767"/>
    <w:rsid w:val="00AD27EE"/>
    <w:rsid w:val="00AD287B"/>
    <w:rsid w:val="00AD2C94"/>
    <w:rsid w:val="00AD2EB9"/>
    <w:rsid w:val="00AD307C"/>
    <w:rsid w:val="00AD33EB"/>
    <w:rsid w:val="00AD3B6A"/>
    <w:rsid w:val="00AD3BFF"/>
    <w:rsid w:val="00AD3C35"/>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61AF"/>
    <w:rsid w:val="00AD689B"/>
    <w:rsid w:val="00AD6AFA"/>
    <w:rsid w:val="00AD6BDA"/>
    <w:rsid w:val="00AD701D"/>
    <w:rsid w:val="00AD70E0"/>
    <w:rsid w:val="00AD75BD"/>
    <w:rsid w:val="00AD7689"/>
    <w:rsid w:val="00AD7B09"/>
    <w:rsid w:val="00AD7CDF"/>
    <w:rsid w:val="00AD7D59"/>
    <w:rsid w:val="00AE0052"/>
    <w:rsid w:val="00AE0B5F"/>
    <w:rsid w:val="00AE0D18"/>
    <w:rsid w:val="00AE0F0C"/>
    <w:rsid w:val="00AE10BF"/>
    <w:rsid w:val="00AE1193"/>
    <w:rsid w:val="00AE1633"/>
    <w:rsid w:val="00AE1AFA"/>
    <w:rsid w:val="00AE1B8E"/>
    <w:rsid w:val="00AE1C81"/>
    <w:rsid w:val="00AE1F3B"/>
    <w:rsid w:val="00AE1F64"/>
    <w:rsid w:val="00AE2091"/>
    <w:rsid w:val="00AE20D4"/>
    <w:rsid w:val="00AE2CC3"/>
    <w:rsid w:val="00AE2D01"/>
    <w:rsid w:val="00AE2D32"/>
    <w:rsid w:val="00AE2DC5"/>
    <w:rsid w:val="00AE2DDF"/>
    <w:rsid w:val="00AE2EAF"/>
    <w:rsid w:val="00AE30CF"/>
    <w:rsid w:val="00AE3514"/>
    <w:rsid w:val="00AE35F8"/>
    <w:rsid w:val="00AE3670"/>
    <w:rsid w:val="00AE387E"/>
    <w:rsid w:val="00AE3C77"/>
    <w:rsid w:val="00AE4202"/>
    <w:rsid w:val="00AE4ACB"/>
    <w:rsid w:val="00AE5024"/>
    <w:rsid w:val="00AE513D"/>
    <w:rsid w:val="00AE533D"/>
    <w:rsid w:val="00AE5562"/>
    <w:rsid w:val="00AE5600"/>
    <w:rsid w:val="00AE599A"/>
    <w:rsid w:val="00AE59E9"/>
    <w:rsid w:val="00AE5B4E"/>
    <w:rsid w:val="00AE5C15"/>
    <w:rsid w:val="00AE5DF1"/>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536"/>
    <w:rsid w:val="00AF07A3"/>
    <w:rsid w:val="00AF0C28"/>
    <w:rsid w:val="00AF0D0A"/>
    <w:rsid w:val="00AF0D63"/>
    <w:rsid w:val="00AF0E24"/>
    <w:rsid w:val="00AF10DD"/>
    <w:rsid w:val="00AF1514"/>
    <w:rsid w:val="00AF16EB"/>
    <w:rsid w:val="00AF1824"/>
    <w:rsid w:val="00AF1890"/>
    <w:rsid w:val="00AF1FBA"/>
    <w:rsid w:val="00AF23D1"/>
    <w:rsid w:val="00AF2436"/>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318"/>
    <w:rsid w:val="00AF45CD"/>
    <w:rsid w:val="00AF464E"/>
    <w:rsid w:val="00AF46A3"/>
    <w:rsid w:val="00AF4809"/>
    <w:rsid w:val="00AF4A07"/>
    <w:rsid w:val="00AF4CE9"/>
    <w:rsid w:val="00AF4E07"/>
    <w:rsid w:val="00AF4E18"/>
    <w:rsid w:val="00AF5250"/>
    <w:rsid w:val="00AF53B0"/>
    <w:rsid w:val="00AF5B07"/>
    <w:rsid w:val="00AF5D4D"/>
    <w:rsid w:val="00AF5EB0"/>
    <w:rsid w:val="00AF6017"/>
    <w:rsid w:val="00AF6260"/>
    <w:rsid w:val="00AF7020"/>
    <w:rsid w:val="00AF70D1"/>
    <w:rsid w:val="00AF7196"/>
    <w:rsid w:val="00AF7515"/>
    <w:rsid w:val="00AF77E4"/>
    <w:rsid w:val="00AF7CD4"/>
    <w:rsid w:val="00AF7CFA"/>
    <w:rsid w:val="00B001C9"/>
    <w:rsid w:val="00B00341"/>
    <w:rsid w:val="00B005A7"/>
    <w:rsid w:val="00B00927"/>
    <w:rsid w:val="00B010E3"/>
    <w:rsid w:val="00B015F7"/>
    <w:rsid w:val="00B0189F"/>
    <w:rsid w:val="00B01EE1"/>
    <w:rsid w:val="00B02187"/>
    <w:rsid w:val="00B02555"/>
    <w:rsid w:val="00B0274B"/>
    <w:rsid w:val="00B028FC"/>
    <w:rsid w:val="00B02AE7"/>
    <w:rsid w:val="00B02C9D"/>
    <w:rsid w:val="00B0345A"/>
    <w:rsid w:val="00B03488"/>
    <w:rsid w:val="00B034A8"/>
    <w:rsid w:val="00B03882"/>
    <w:rsid w:val="00B039EB"/>
    <w:rsid w:val="00B039EC"/>
    <w:rsid w:val="00B03BF0"/>
    <w:rsid w:val="00B03E5B"/>
    <w:rsid w:val="00B047B1"/>
    <w:rsid w:val="00B047BF"/>
    <w:rsid w:val="00B04956"/>
    <w:rsid w:val="00B04B70"/>
    <w:rsid w:val="00B04D45"/>
    <w:rsid w:val="00B0536A"/>
    <w:rsid w:val="00B05534"/>
    <w:rsid w:val="00B0578F"/>
    <w:rsid w:val="00B05DAF"/>
    <w:rsid w:val="00B05E39"/>
    <w:rsid w:val="00B05E52"/>
    <w:rsid w:val="00B062CB"/>
    <w:rsid w:val="00B0642A"/>
    <w:rsid w:val="00B06565"/>
    <w:rsid w:val="00B067BD"/>
    <w:rsid w:val="00B06929"/>
    <w:rsid w:val="00B069A0"/>
    <w:rsid w:val="00B06B14"/>
    <w:rsid w:val="00B06BAA"/>
    <w:rsid w:val="00B07088"/>
    <w:rsid w:val="00B071BA"/>
    <w:rsid w:val="00B073CA"/>
    <w:rsid w:val="00B074A3"/>
    <w:rsid w:val="00B075E1"/>
    <w:rsid w:val="00B07A0D"/>
    <w:rsid w:val="00B07ABB"/>
    <w:rsid w:val="00B07BE0"/>
    <w:rsid w:val="00B07C60"/>
    <w:rsid w:val="00B07FFB"/>
    <w:rsid w:val="00B10909"/>
    <w:rsid w:val="00B10AAA"/>
    <w:rsid w:val="00B110F7"/>
    <w:rsid w:val="00B114D0"/>
    <w:rsid w:val="00B11868"/>
    <w:rsid w:val="00B11966"/>
    <w:rsid w:val="00B11A1F"/>
    <w:rsid w:val="00B11D44"/>
    <w:rsid w:val="00B12191"/>
    <w:rsid w:val="00B127D1"/>
    <w:rsid w:val="00B129BD"/>
    <w:rsid w:val="00B129E8"/>
    <w:rsid w:val="00B12D7B"/>
    <w:rsid w:val="00B13080"/>
    <w:rsid w:val="00B13226"/>
    <w:rsid w:val="00B1336F"/>
    <w:rsid w:val="00B134CB"/>
    <w:rsid w:val="00B135C6"/>
    <w:rsid w:val="00B137E8"/>
    <w:rsid w:val="00B13A90"/>
    <w:rsid w:val="00B13CBD"/>
    <w:rsid w:val="00B140DB"/>
    <w:rsid w:val="00B148CC"/>
    <w:rsid w:val="00B149E9"/>
    <w:rsid w:val="00B14C86"/>
    <w:rsid w:val="00B15093"/>
    <w:rsid w:val="00B1520C"/>
    <w:rsid w:val="00B15481"/>
    <w:rsid w:val="00B15747"/>
    <w:rsid w:val="00B15ABB"/>
    <w:rsid w:val="00B15B9E"/>
    <w:rsid w:val="00B15E95"/>
    <w:rsid w:val="00B166B4"/>
    <w:rsid w:val="00B166EA"/>
    <w:rsid w:val="00B16A7A"/>
    <w:rsid w:val="00B16C48"/>
    <w:rsid w:val="00B16FD7"/>
    <w:rsid w:val="00B17062"/>
    <w:rsid w:val="00B172C5"/>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C08"/>
    <w:rsid w:val="00B20C34"/>
    <w:rsid w:val="00B20F64"/>
    <w:rsid w:val="00B21078"/>
    <w:rsid w:val="00B21279"/>
    <w:rsid w:val="00B2152A"/>
    <w:rsid w:val="00B21C4E"/>
    <w:rsid w:val="00B21E5B"/>
    <w:rsid w:val="00B225C4"/>
    <w:rsid w:val="00B22652"/>
    <w:rsid w:val="00B2281D"/>
    <w:rsid w:val="00B22F1C"/>
    <w:rsid w:val="00B22FFD"/>
    <w:rsid w:val="00B23114"/>
    <w:rsid w:val="00B2333A"/>
    <w:rsid w:val="00B23561"/>
    <w:rsid w:val="00B235F4"/>
    <w:rsid w:val="00B23CFB"/>
    <w:rsid w:val="00B23F91"/>
    <w:rsid w:val="00B24698"/>
    <w:rsid w:val="00B249AD"/>
    <w:rsid w:val="00B24DA3"/>
    <w:rsid w:val="00B24FF5"/>
    <w:rsid w:val="00B25498"/>
    <w:rsid w:val="00B25689"/>
    <w:rsid w:val="00B25AA9"/>
    <w:rsid w:val="00B25D59"/>
    <w:rsid w:val="00B260D1"/>
    <w:rsid w:val="00B26195"/>
    <w:rsid w:val="00B26323"/>
    <w:rsid w:val="00B2710C"/>
    <w:rsid w:val="00B27669"/>
    <w:rsid w:val="00B277A8"/>
    <w:rsid w:val="00B27C79"/>
    <w:rsid w:val="00B27EF3"/>
    <w:rsid w:val="00B27F94"/>
    <w:rsid w:val="00B30055"/>
    <w:rsid w:val="00B30115"/>
    <w:rsid w:val="00B3017C"/>
    <w:rsid w:val="00B302FD"/>
    <w:rsid w:val="00B3036A"/>
    <w:rsid w:val="00B307B1"/>
    <w:rsid w:val="00B3093A"/>
    <w:rsid w:val="00B30A05"/>
    <w:rsid w:val="00B30C30"/>
    <w:rsid w:val="00B30D09"/>
    <w:rsid w:val="00B30EFB"/>
    <w:rsid w:val="00B31030"/>
    <w:rsid w:val="00B3132C"/>
    <w:rsid w:val="00B31707"/>
    <w:rsid w:val="00B31719"/>
    <w:rsid w:val="00B31A20"/>
    <w:rsid w:val="00B31B7D"/>
    <w:rsid w:val="00B31E2B"/>
    <w:rsid w:val="00B31EBE"/>
    <w:rsid w:val="00B31ED2"/>
    <w:rsid w:val="00B325E0"/>
    <w:rsid w:val="00B32653"/>
    <w:rsid w:val="00B326EC"/>
    <w:rsid w:val="00B32754"/>
    <w:rsid w:val="00B32806"/>
    <w:rsid w:val="00B32916"/>
    <w:rsid w:val="00B32AF1"/>
    <w:rsid w:val="00B32CD4"/>
    <w:rsid w:val="00B32D61"/>
    <w:rsid w:val="00B32E78"/>
    <w:rsid w:val="00B32EFE"/>
    <w:rsid w:val="00B32F8E"/>
    <w:rsid w:val="00B33072"/>
    <w:rsid w:val="00B332FD"/>
    <w:rsid w:val="00B3364C"/>
    <w:rsid w:val="00B33751"/>
    <w:rsid w:val="00B339D0"/>
    <w:rsid w:val="00B33D37"/>
    <w:rsid w:val="00B33DCB"/>
    <w:rsid w:val="00B33F35"/>
    <w:rsid w:val="00B3414B"/>
    <w:rsid w:val="00B342F0"/>
    <w:rsid w:val="00B34593"/>
    <w:rsid w:val="00B34704"/>
    <w:rsid w:val="00B347E8"/>
    <w:rsid w:val="00B34840"/>
    <w:rsid w:val="00B34979"/>
    <w:rsid w:val="00B34A43"/>
    <w:rsid w:val="00B34FB1"/>
    <w:rsid w:val="00B3510A"/>
    <w:rsid w:val="00B35164"/>
    <w:rsid w:val="00B3566E"/>
    <w:rsid w:val="00B35678"/>
    <w:rsid w:val="00B35CC0"/>
    <w:rsid w:val="00B35E69"/>
    <w:rsid w:val="00B362FE"/>
    <w:rsid w:val="00B36877"/>
    <w:rsid w:val="00B36E94"/>
    <w:rsid w:val="00B37160"/>
    <w:rsid w:val="00B37176"/>
    <w:rsid w:val="00B371BE"/>
    <w:rsid w:val="00B37267"/>
    <w:rsid w:val="00B373E7"/>
    <w:rsid w:val="00B3767C"/>
    <w:rsid w:val="00B403FD"/>
    <w:rsid w:val="00B40DD4"/>
    <w:rsid w:val="00B4114F"/>
    <w:rsid w:val="00B41217"/>
    <w:rsid w:val="00B415A5"/>
    <w:rsid w:val="00B41993"/>
    <w:rsid w:val="00B41E05"/>
    <w:rsid w:val="00B41EFC"/>
    <w:rsid w:val="00B421D7"/>
    <w:rsid w:val="00B42614"/>
    <w:rsid w:val="00B42D10"/>
    <w:rsid w:val="00B42D5D"/>
    <w:rsid w:val="00B42D9E"/>
    <w:rsid w:val="00B433EF"/>
    <w:rsid w:val="00B434F2"/>
    <w:rsid w:val="00B4351A"/>
    <w:rsid w:val="00B43686"/>
    <w:rsid w:val="00B436B6"/>
    <w:rsid w:val="00B439AE"/>
    <w:rsid w:val="00B43E85"/>
    <w:rsid w:val="00B44073"/>
    <w:rsid w:val="00B440CD"/>
    <w:rsid w:val="00B443D0"/>
    <w:rsid w:val="00B444B1"/>
    <w:rsid w:val="00B44656"/>
    <w:rsid w:val="00B44BCF"/>
    <w:rsid w:val="00B44E7C"/>
    <w:rsid w:val="00B45437"/>
    <w:rsid w:val="00B45607"/>
    <w:rsid w:val="00B45A16"/>
    <w:rsid w:val="00B45B1C"/>
    <w:rsid w:val="00B45B6C"/>
    <w:rsid w:val="00B4623D"/>
    <w:rsid w:val="00B46500"/>
    <w:rsid w:val="00B46669"/>
    <w:rsid w:val="00B46802"/>
    <w:rsid w:val="00B46E72"/>
    <w:rsid w:val="00B47037"/>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3F3"/>
    <w:rsid w:val="00B5161F"/>
    <w:rsid w:val="00B51688"/>
    <w:rsid w:val="00B51931"/>
    <w:rsid w:val="00B51961"/>
    <w:rsid w:val="00B51A54"/>
    <w:rsid w:val="00B51F12"/>
    <w:rsid w:val="00B51F28"/>
    <w:rsid w:val="00B52179"/>
    <w:rsid w:val="00B5238C"/>
    <w:rsid w:val="00B52440"/>
    <w:rsid w:val="00B52631"/>
    <w:rsid w:val="00B52816"/>
    <w:rsid w:val="00B528FD"/>
    <w:rsid w:val="00B52A05"/>
    <w:rsid w:val="00B52B4D"/>
    <w:rsid w:val="00B52BEB"/>
    <w:rsid w:val="00B52C79"/>
    <w:rsid w:val="00B52D23"/>
    <w:rsid w:val="00B52E66"/>
    <w:rsid w:val="00B5308D"/>
    <w:rsid w:val="00B53303"/>
    <w:rsid w:val="00B533D9"/>
    <w:rsid w:val="00B53450"/>
    <w:rsid w:val="00B53584"/>
    <w:rsid w:val="00B53817"/>
    <w:rsid w:val="00B5388E"/>
    <w:rsid w:val="00B53942"/>
    <w:rsid w:val="00B53A52"/>
    <w:rsid w:val="00B53D2E"/>
    <w:rsid w:val="00B5454A"/>
    <w:rsid w:val="00B545ED"/>
    <w:rsid w:val="00B54A8E"/>
    <w:rsid w:val="00B54BFF"/>
    <w:rsid w:val="00B54E3B"/>
    <w:rsid w:val="00B55129"/>
    <w:rsid w:val="00B55338"/>
    <w:rsid w:val="00B557B2"/>
    <w:rsid w:val="00B558D8"/>
    <w:rsid w:val="00B559A9"/>
    <w:rsid w:val="00B55B33"/>
    <w:rsid w:val="00B55B49"/>
    <w:rsid w:val="00B55C0B"/>
    <w:rsid w:val="00B55E48"/>
    <w:rsid w:val="00B560B7"/>
    <w:rsid w:val="00B5652E"/>
    <w:rsid w:val="00B56D35"/>
    <w:rsid w:val="00B56DBA"/>
    <w:rsid w:val="00B57183"/>
    <w:rsid w:val="00B5720D"/>
    <w:rsid w:val="00B57366"/>
    <w:rsid w:val="00B57734"/>
    <w:rsid w:val="00B578E7"/>
    <w:rsid w:val="00B57957"/>
    <w:rsid w:val="00B579E4"/>
    <w:rsid w:val="00B57E97"/>
    <w:rsid w:val="00B6006A"/>
    <w:rsid w:val="00B60121"/>
    <w:rsid w:val="00B6020C"/>
    <w:rsid w:val="00B60227"/>
    <w:rsid w:val="00B6023C"/>
    <w:rsid w:val="00B604A0"/>
    <w:rsid w:val="00B60A03"/>
    <w:rsid w:val="00B60A3C"/>
    <w:rsid w:val="00B60B1C"/>
    <w:rsid w:val="00B60C6E"/>
    <w:rsid w:val="00B60F00"/>
    <w:rsid w:val="00B614F8"/>
    <w:rsid w:val="00B617BB"/>
    <w:rsid w:val="00B619BE"/>
    <w:rsid w:val="00B61AD2"/>
    <w:rsid w:val="00B61E77"/>
    <w:rsid w:val="00B61EB9"/>
    <w:rsid w:val="00B61FEB"/>
    <w:rsid w:val="00B62018"/>
    <w:rsid w:val="00B62239"/>
    <w:rsid w:val="00B625C5"/>
    <w:rsid w:val="00B62A08"/>
    <w:rsid w:val="00B62C4F"/>
    <w:rsid w:val="00B62E2C"/>
    <w:rsid w:val="00B632D4"/>
    <w:rsid w:val="00B633D2"/>
    <w:rsid w:val="00B63660"/>
    <w:rsid w:val="00B638EB"/>
    <w:rsid w:val="00B639AE"/>
    <w:rsid w:val="00B63A89"/>
    <w:rsid w:val="00B64038"/>
    <w:rsid w:val="00B6420C"/>
    <w:rsid w:val="00B6428B"/>
    <w:rsid w:val="00B642D5"/>
    <w:rsid w:val="00B642D9"/>
    <w:rsid w:val="00B64351"/>
    <w:rsid w:val="00B6451F"/>
    <w:rsid w:val="00B64707"/>
    <w:rsid w:val="00B648CD"/>
    <w:rsid w:val="00B64FE6"/>
    <w:rsid w:val="00B65036"/>
    <w:rsid w:val="00B652D3"/>
    <w:rsid w:val="00B652FC"/>
    <w:rsid w:val="00B65356"/>
    <w:rsid w:val="00B654B5"/>
    <w:rsid w:val="00B658DC"/>
    <w:rsid w:val="00B65EF1"/>
    <w:rsid w:val="00B66022"/>
    <w:rsid w:val="00B661F2"/>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DA4"/>
    <w:rsid w:val="00B67E51"/>
    <w:rsid w:val="00B67EAD"/>
    <w:rsid w:val="00B67FC0"/>
    <w:rsid w:val="00B700F5"/>
    <w:rsid w:val="00B70367"/>
    <w:rsid w:val="00B704CB"/>
    <w:rsid w:val="00B705D1"/>
    <w:rsid w:val="00B709CC"/>
    <w:rsid w:val="00B70DB2"/>
    <w:rsid w:val="00B70E83"/>
    <w:rsid w:val="00B710D6"/>
    <w:rsid w:val="00B7123F"/>
    <w:rsid w:val="00B71460"/>
    <w:rsid w:val="00B71581"/>
    <w:rsid w:val="00B718B2"/>
    <w:rsid w:val="00B71A0E"/>
    <w:rsid w:val="00B71F0A"/>
    <w:rsid w:val="00B71F15"/>
    <w:rsid w:val="00B7221F"/>
    <w:rsid w:val="00B7234A"/>
    <w:rsid w:val="00B725C2"/>
    <w:rsid w:val="00B72644"/>
    <w:rsid w:val="00B72C0C"/>
    <w:rsid w:val="00B733EA"/>
    <w:rsid w:val="00B738E4"/>
    <w:rsid w:val="00B73B78"/>
    <w:rsid w:val="00B73E0E"/>
    <w:rsid w:val="00B74581"/>
    <w:rsid w:val="00B74B25"/>
    <w:rsid w:val="00B74D2E"/>
    <w:rsid w:val="00B7503A"/>
    <w:rsid w:val="00B75115"/>
    <w:rsid w:val="00B7529A"/>
    <w:rsid w:val="00B75A4C"/>
    <w:rsid w:val="00B75C2D"/>
    <w:rsid w:val="00B75CE0"/>
    <w:rsid w:val="00B75E3E"/>
    <w:rsid w:val="00B7649B"/>
    <w:rsid w:val="00B76557"/>
    <w:rsid w:val="00B766EE"/>
    <w:rsid w:val="00B7682C"/>
    <w:rsid w:val="00B76A35"/>
    <w:rsid w:val="00B7706B"/>
    <w:rsid w:val="00B772BC"/>
    <w:rsid w:val="00B77494"/>
    <w:rsid w:val="00B77537"/>
    <w:rsid w:val="00B776F5"/>
    <w:rsid w:val="00B77C65"/>
    <w:rsid w:val="00B77F3E"/>
    <w:rsid w:val="00B801F4"/>
    <w:rsid w:val="00B8063A"/>
    <w:rsid w:val="00B807E0"/>
    <w:rsid w:val="00B808CE"/>
    <w:rsid w:val="00B80C84"/>
    <w:rsid w:val="00B80CC4"/>
    <w:rsid w:val="00B80DE6"/>
    <w:rsid w:val="00B80EB7"/>
    <w:rsid w:val="00B80FF9"/>
    <w:rsid w:val="00B81109"/>
    <w:rsid w:val="00B8120E"/>
    <w:rsid w:val="00B81239"/>
    <w:rsid w:val="00B81276"/>
    <w:rsid w:val="00B8164C"/>
    <w:rsid w:val="00B816E9"/>
    <w:rsid w:val="00B817CE"/>
    <w:rsid w:val="00B81837"/>
    <w:rsid w:val="00B819AC"/>
    <w:rsid w:val="00B81B65"/>
    <w:rsid w:val="00B81EB6"/>
    <w:rsid w:val="00B8228A"/>
    <w:rsid w:val="00B82423"/>
    <w:rsid w:val="00B8244B"/>
    <w:rsid w:val="00B82661"/>
    <w:rsid w:val="00B827F7"/>
    <w:rsid w:val="00B82C94"/>
    <w:rsid w:val="00B82E23"/>
    <w:rsid w:val="00B82EB8"/>
    <w:rsid w:val="00B8383F"/>
    <w:rsid w:val="00B839DC"/>
    <w:rsid w:val="00B83B6C"/>
    <w:rsid w:val="00B83BC7"/>
    <w:rsid w:val="00B83E1A"/>
    <w:rsid w:val="00B83F10"/>
    <w:rsid w:val="00B83F14"/>
    <w:rsid w:val="00B840DE"/>
    <w:rsid w:val="00B84217"/>
    <w:rsid w:val="00B8429A"/>
    <w:rsid w:val="00B8431F"/>
    <w:rsid w:val="00B84852"/>
    <w:rsid w:val="00B84CF0"/>
    <w:rsid w:val="00B84D1E"/>
    <w:rsid w:val="00B84E0F"/>
    <w:rsid w:val="00B84F07"/>
    <w:rsid w:val="00B84FE5"/>
    <w:rsid w:val="00B853D8"/>
    <w:rsid w:val="00B85E14"/>
    <w:rsid w:val="00B85EC4"/>
    <w:rsid w:val="00B86202"/>
    <w:rsid w:val="00B86465"/>
    <w:rsid w:val="00B86576"/>
    <w:rsid w:val="00B8689D"/>
    <w:rsid w:val="00B8692C"/>
    <w:rsid w:val="00B869B3"/>
    <w:rsid w:val="00B86BBF"/>
    <w:rsid w:val="00B86E6C"/>
    <w:rsid w:val="00B87188"/>
    <w:rsid w:val="00B877EF"/>
    <w:rsid w:val="00B87873"/>
    <w:rsid w:val="00B87DDF"/>
    <w:rsid w:val="00B900FE"/>
    <w:rsid w:val="00B902F2"/>
    <w:rsid w:val="00B903C3"/>
    <w:rsid w:val="00B904A9"/>
    <w:rsid w:val="00B90643"/>
    <w:rsid w:val="00B906F8"/>
    <w:rsid w:val="00B907A0"/>
    <w:rsid w:val="00B90A78"/>
    <w:rsid w:val="00B90FD9"/>
    <w:rsid w:val="00B91071"/>
    <w:rsid w:val="00B910FB"/>
    <w:rsid w:val="00B91111"/>
    <w:rsid w:val="00B9140F"/>
    <w:rsid w:val="00B9171C"/>
    <w:rsid w:val="00B91A0B"/>
    <w:rsid w:val="00B91BE4"/>
    <w:rsid w:val="00B91C50"/>
    <w:rsid w:val="00B91FCB"/>
    <w:rsid w:val="00B92008"/>
    <w:rsid w:val="00B920AE"/>
    <w:rsid w:val="00B92227"/>
    <w:rsid w:val="00B92708"/>
    <w:rsid w:val="00B928D7"/>
    <w:rsid w:val="00B92DF4"/>
    <w:rsid w:val="00B92FDF"/>
    <w:rsid w:val="00B93080"/>
    <w:rsid w:val="00B93244"/>
    <w:rsid w:val="00B935B0"/>
    <w:rsid w:val="00B93BE4"/>
    <w:rsid w:val="00B93D8B"/>
    <w:rsid w:val="00B94101"/>
    <w:rsid w:val="00B94675"/>
    <w:rsid w:val="00B94733"/>
    <w:rsid w:val="00B94745"/>
    <w:rsid w:val="00B94BFB"/>
    <w:rsid w:val="00B94DE3"/>
    <w:rsid w:val="00B94EE4"/>
    <w:rsid w:val="00B95054"/>
    <w:rsid w:val="00B9519D"/>
    <w:rsid w:val="00B951FB"/>
    <w:rsid w:val="00B953F3"/>
    <w:rsid w:val="00B95546"/>
    <w:rsid w:val="00B95582"/>
    <w:rsid w:val="00B9576F"/>
    <w:rsid w:val="00B958B2"/>
    <w:rsid w:val="00B95B4B"/>
    <w:rsid w:val="00B95F19"/>
    <w:rsid w:val="00B9601E"/>
    <w:rsid w:val="00B960A7"/>
    <w:rsid w:val="00B960C5"/>
    <w:rsid w:val="00B96211"/>
    <w:rsid w:val="00B9621F"/>
    <w:rsid w:val="00B9632E"/>
    <w:rsid w:val="00B9665F"/>
    <w:rsid w:val="00B96B95"/>
    <w:rsid w:val="00B9715F"/>
    <w:rsid w:val="00B97216"/>
    <w:rsid w:val="00B972FA"/>
    <w:rsid w:val="00B974C8"/>
    <w:rsid w:val="00B975BB"/>
    <w:rsid w:val="00B97763"/>
    <w:rsid w:val="00B97795"/>
    <w:rsid w:val="00B9796B"/>
    <w:rsid w:val="00B97B1F"/>
    <w:rsid w:val="00B97C52"/>
    <w:rsid w:val="00B97C5D"/>
    <w:rsid w:val="00B97E2E"/>
    <w:rsid w:val="00BA0041"/>
    <w:rsid w:val="00BA02E3"/>
    <w:rsid w:val="00BA030D"/>
    <w:rsid w:val="00BA0408"/>
    <w:rsid w:val="00BA044D"/>
    <w:rsid w:val="00BA0459"/>
    <w:rsid w:val="00BA0568"/>
    <w:rsid w:val="00BA06A1"/>
    <w:rsid w:val="00BA06E3"/>
    <w:rsid w:val="00BA071E"/>
    <w:rsid w:val="00BA0A18"/>
    <w:rsid w:val="00BA0C31"/>
    <w:rsid w:val="00BA0C8C"/>
    <w:rsid w:val="00BA109A"/>
    <w:rsid w:val="00BA11F8"/>
    <w:rsid w:val="00BA1642"/>
    <w:rsid w:val="00BA1833"/>
    <w:rsid w:val="00BA1901"/>
    <w:rsid w:val="00BA1A17"/>
    <w:rsid w:val="00BA1C0D"/>
    <w:rsid w:val="00BA1ED4"/>
    <w:rsid w:val="00BA21AA"/>
    <w:rsid w:val="00BA23E7"/>
    <w:rsid w:val="00BA2647"/>
    <w:rsid w:val="00BA28CF"/>
    <w:rsid w:val="00BA2F5A"/>
    <w:rsid w:val="00BA3154"/>
    <w:rsid w:val="00BA331A"/>
    <w:rsid w:val="00BA331C"/>
    <w:rsid w:val="00BA3349"/>
    <w:rsid w:val="00BA3417"/>
    <w:rsid w:val="00BA350E"/>
    <w:rsid w:val="00BA3631"/>
    <w:rsid w:val="00BA3720"/>
    <w:rsid w:val="00BA38F9"/>
    <w:rsid w:val="00BA3A2A"/>
    <w:rsid w:val="00BA3CA4"/>
    <w:rsid w:val="00BA3CE8"/>
    <w:rsid w:val="00BA3FEA"/>
    <w:rsid w:val="00BA3FEF"/>
    <w:rsid w:val="00BA4793"/>
    <w:rsid w:val="00BA4A56"/>
    <w:rsid w:val="00BA4B70"/>
    <w:rsid w:val="00BA4B78"/>
    <w:rsid w:val="00BA4DDA"/>
    <w:rsid w:val="00BA4F54"/>
    <w:rsid w:val="00BA4F8A"/>
    <w:rsid w:val="00BA4FB5"/>
    <w:rsid w:val="00BA5637"/>
    <w:rsid w:val="00BA5684"/>
    <w:rsid w:val="00BA598A"/>
    <w:rsid w:val="00BA5E4D"/>
    <w:rsid w:val="00BA5FD2"/>
    <w:rsid w:val="00BA6044"/>
    <w:rsid w:val="00BA613C"/>
    <w:rsid w:val="00BA65C0"/>
    <w:rsid w:val="00BA6CC8"/>
    <w:rsid w:val="00BA6D64"/>
    <w:rsid w:val="00BA6E84"/>
    <w:rsid w:val="00BA7482"/>
    <w:rsid w:val="00BA7632"/>
    <w:rsid w:val="00BA7AE6"/>
    <w:rsid w:val="00BA7D55"/>
    <w:rsid w:val="00BB029C"/>
    <w:rsid w:val="00BB02FA"/>
    <w:rsid w:val="00BB0574"/>
    <w:rsid w:val="00BB07DE"/>
    <w:rsid w:val="00BB08C3"/>
    <w:rsid w:val="00BB0EFF"/>
    <w:rsid w:val="00BB14A5"/>
    <w:rsid w:val="00BB180B"/>
    <w:rsid w:val="00BB2042"/>
    <w:rsid w:val="00BB26F4"/>
    <w:rsid w:val="00BB293B"/>
    <w:rsid w:val="00BB3544"/>
    <w:rsid w:val="00BB3668"/>
    <w:rsid w:val="00BB399B"/>
    <w:rsid w:val="00BB4251"/>
    <w:rsid w:val="00BB44A5"/>
    <w:rsid w:val="00BB4CBA"/>
    <w:rsid w:val="00BB4D36"/>
    <w:rsid w:val="00BB4FE3"/>
    <w:rsid w:val="00BB50F9"/>
    <w:rsid w:val="00BB5209"/>
    <w:rsid w:val="00BB545E"/>
    <w:rsid w:val="00BB5613"/>
    <w:rsid w:val="00BB5735"/>
    <w:rsid w:val="00BB5965"/>
    <w:rsid w:val="00BB5ABC"/>
    <w:rsid w:val="00BB5C2C"/>
    <w:rsid w:val="00BB5CC5"/>
    <w:rsid w:val="00BB5D44"/>
    <w:rsid w:val="00BB5EBA"/>
    <w:rsid w:val="00BB60D7"/>
    <w:rsid w:val="00BB62EC"/>
    <w:rsid w:val="00BB6430"/>
    <w:rsid w:val="00BB68EA"/>
    <w:rsid w:val="00BB69B2"/>
    <w:rsid w:val="00BB6A53"/>
    <w:rsid w:val="00BB6B00"/>
    <w:rsid w:val="00BB6B31"/>
    <w:rsid w:val="00BB714F"/>
    <w:rsid w:val="00BB7231"/>
    <w:rsid w:val="00BB7461"/>
    <w:rsid w:val="00BB78A3"/>
    <w:rsid w:val="00BB7A33"/>
    <w:rsid w:val="00BB7A4E"/>
    <w:rsid w:val="00BB7A61"/>
    <w:rsid w:val="00BB7B82"/>
    <w:rsid w:val="00BC0AB0"/>
    <w:rsid w:val="00BC0C2F"/>
    <w:rsid w:val="00BC1147"/>
    <w:rsid w:val="00BC149D"/>
    <w:rsid w:val="00BC15A4"/>
    <w:rsid w:val="00BC161B"/>
    <w:rsid w:val="00BC1C47"/>
    <w:rsid w:val="00BC1E7F"/>
    <w:rsid w:val="00BC1FE9"/>
    <w:rsid w:val="00BC20F6"/>
    <w:rsid w:val="00BC213B"/>
    <w:rsid w:val="00BC24C9"/>
    <w:rsid w:val="00BC26EC"/>
    <w:rsid w:val="00BC2843"/>
    <w:rsid w:val="00BC2A4D"/>
    <w:rsid w:val="00BC2CF9"/>
    <w:rsid w:val="00BC2D76"/>
    <w:rsid w:val="00BC2F7D"/>
    <w:rsid w:val="00BC35B5"/>
    <w:rsid w:val="00BC36F2"/>
    <w:rsid w:val="00BC3926"/>
    <w:rsid w:val="00BC39FF"/>
    <w:rsid w:val="00BC3A9C"/>
    <w:rsid w:val="00BC4269"/>
    <w:rsid w:val="00BC4373"/>
    <w:rsid w:val="00BC46D1"/>
    <w:rsid w:val="00BC4713"/>
    <w:rsid w:val="00BC49CE"/>
    <w:rsid w:val="00BC5279"/>
    <w:rsid w:val="00BC5AC5"/>
    <w:rsid w:val="00BC5B17"/>
    <w:rsid w:val="00BC5B3F"/>
    <w:rsid w:val="00BC5BFC"/>
    <w:rsid w:val="00BC5D42"/>
    <w:rsid w:val="00BC5E05"/>
    <w:rsid w:val="00BC6260"/>
    <w:rsid w:val="00BC64A9"/>
    <w:rsid w:val="00BC6702"/>
    <w:rsid w:val="00BC6C01"/>
    <w:rsid w:val="00BC6C4E"/>
    <w:rsid w:val="00BC6E2E"/>
    <w:rsid w:val="00BC7299"/>
    <w:rsid w:val="00BC7455"/>
    <w:rsid w:val="00BC7902"/>
    <w:rsid w:val="00BC7A37"/>
    <w:rsid w:val="00BC7E65"/>
    <w:rsid w:val="00BC7E7A"/>
    <w:rsid w:val="00BD0835"/>
    <w:rsid w:val="00BD0BD1"/>
    <w:rsid w:val="00BD0D52"/>
    <w:rsid w:val="00BD0E0B"/>
    <w:rsid w:val="00BD0FDC"/>
    <w:rsid w:val="00BD1487"/>
    <w:rsid w:val="00BD14E9"/>
    <w:rsid w:val="00BD160C"/>
    <w:rsid w:val="00BD1B25"/>
    <w:rsid w:val="00BD1B30"/>
    <w:rsid w:val="00BD1CEC"/>
    <w:rsid w:val="00BD23F7"/>
    <w:rsid w:val="00BD2579"/>
    <w:rsid w:val="00BD279D"/>
    <w:rsid w:val="00BD2AE9"/>
    <w:rsid w:val="00BD2C5C"/>
    <w:rsid w:val="00BD2DE6"/>
    <w:rsid w:val="00BD2E24"/>
    <w:rsid w:val="00BD35F4"/>
    <w:rsid w:val="00BD36A6"/>
    <w:rsid w:val="00BD36FB"/>
    <w:rsid w:val="00BD396B"/>
    <w:rsid w:val="00BD409D"/>
    <w:rsid w:val="00BD40A0"/>
    <w:rsid w:val="00BD4808"/>
    <w:rsid w:val="00BD4A6D"/>
    <w:rsid w:val="00BD4C11"/>
    <w:rsid w:val="00BD4D47"/>
    <w:rsid w:val="00BD520D"/>
    <w:rsid w:val="00BD5333"/>
    <w:rsid w:val="00BD56BE"/>
    <w:rsid w:val="00BD58BA"/>
    <w:rsid w:val="00BD5999"/>
    <w:rsid w:val="00BD5AE8"/>
    <w:rsid w:val="00BD5B9B"/>
    <w:rsid w:val="00BD5E3C"/>
    <w:rsid w:val="00BD61B1"/>
    <w:rsid w:val="00BD64CD"/>
    <w:rsid w:val="00BD64F8"/>
    <w:rsid w:val="00BD6A9A"/>
    <w:rsid w:val="00BD6E37"/>
    <w:rsid w:val="00BD71D4"/>
    <w:rsid w:val="00BD766C"/>
    <w:rsid w:val="00BD788E"/>
    <w:rsid w:val="00BD7A3A"/>
    <w:rsid w:val="00BD7AB5"/>
    <w:rsid w:val="00BD7DD6"/>
    <w:rsid w:val="00BD7DFD"/>
    <w:rsid w:val="00BD7ECF"/>
    <w:rsid w:val="00BE0A4F"/>
    <w:rsid w:val="00BE0D23"/>
    <w:rsid w:val="00BE0FD3"/>
    <w:rsid w:val="00BE125F"/>
    <w:rsid w:val="00BE13C3"/>
    <w:rsid w:val="00BE158C"/>
    <w:rsid w:val="00BE1894"/>
    <w:rsid w:val="00BE18F2"/>
    <w:rsid w:val="00BE1993"/>
    <w:rsid w:val="00BE1A64"/>
    <w:rsid w:val="00BE1ECC"/>
    <w:rsid w:val="00BE1F32"/>
    <w:rsid w:val="00BE1F97"/>
    <w:rsid w:val="00BE1FFE"/>
    <w:rsid w:val="00BE2186"/>
    <w:rsid w:val="00BE24CA"/>
    <w:rsid w:val="00BE250A"/>
    <w:rsid w:val="00BE2831"/>
    <w:rsid w:val="00BE2C87"/>
    <w:rsid w:val="00BE2CB6"/>
    <w:rsid w:val="00BE2DAB"/>
    <w:rsid w:val="00BE34A2"/>
    <w:rsid w:val="00BE34FA"/>
    <w:rsid w:val="00BE3946"/>
    <w:rsid w:val="00BE3BE3"/>
    <w:rsid w:val="00BE3C1C"/>
    <w:rsid w:val="00BE3C44"/>
    <w:rsid w:val="00BE3C79"/>
    <w:rsid w:val="00BE3F3E"/>
    <w:rsid w:val="00BE410C"/>
    <w:rsid w:val="00BE4140"/>
    <w:rsid w:val="00BE4185"/>
    <w:rsid w:val="00BE443E"/>
    <w:rsid w:val="00BE4686"/>
    <w:rsid w:val="00BE49B8"/>
    <w:rsid w:val="00BE4ABC"/>
    <w:rsid w:val="00BE508B"/>
    <w:rsid w:val="00BE5092"/>
    <w:rsid w:val="00BE50CD"/>
    <w:rsid w:val="00BE5112"/>
    <w:rsid w:val="00BE5143"/>
    <w:rsid w:val="00BE52BB"/>
    <w:rsid w:val="00BE5436"/>
    <w:rsid w:val="00BE56D8"/>
    <w:rsid w:val="00BE5C18"/>
    <w:rsid w:val="00BE5E26"/>
    <w:rsid w:val="00BE602B"/>
    <w:rsid w:val="00BE614D"/>
    <w:rsid w:val="00BE6200"/>
    <w:rsid w:val="00BE6247"/>
    <w:rsid w:val="00BE660F"/>
    <w:rsid w:val="00BE66E3"/>
    <w:rsid w:val="00BE698C"/>
    <w:rsid w:val="00BE6B27"/>
    <w:rsid w:val="00BE6B3B"/>
    <w:rsid w:val="00BE6CD1"/>
    <w:rsid w:val="00BE6E4A"/>
    <w:rsid w:val="00BE6EEC"/>
    <w:rsid w:val="00BE6F8C"/>
    <w:rsid w:val="00BE7205"/>
    <w:rsid w:val="00BE7300"/>
    <w:rsid w:val="00BE75EA"/>
    <w:rsid w:val="00BE773C"/>
    <w:rsid w:val="00BE77A9"/>
    <w:rsid w:val="00BE77DC"/>
    <w:rsid w:val="00BE789D"/>
    <w:rsid w:val="00BE7A2B"/>
    <w:rsid w:val="00BE7B15"/>
    <w:rsid w:val="00BE7D6D"/>
    <w:rsid w:val="00BE7FBC"/>
    <w:rsid w:val="00BE7FC1"/>
    <w:rsid w:val="00BF004B"/>
    <w:rsid w:val="00BF0332"/>
    <w:rsid w:val="00BF09A8"/>
    <w:rsid w:val="00BF18FF"/>
    <w:rsid w:val="00BF1A0D"/>
    <w:rsid w:val="00BF1E36"/>
    <w:rsid w:val="00BF202D"/>
    <w:rsid w:val="00BF20EA"/>
    <w:rsid w:val="00BF21C3"/>
    <w:rsid w:val="00BF2303"/>
    <w:rsid w:val="00BF2373"/>
    <w:rsid w:val="00BF2469"/>
    <w:rsid w:val="00BF2564"/>
    <w:rsid w:val="00BF2782"/>
    <w:rsid w:val="00BF27E1"/>
    <w:rsid w:val="00BF284F"/>
    <w:rsid w:val="00BF29FB"/>
    <w:rsid w:val="00BF2B2C"/>
    <w:rsid w:val="00BF2B90"/>
    <w:rsid w:val="00BF2B99"/>
    <w:rsid w:val="00BF2CA1"/>
    <w:rsid w:val="00BF3425"/>
    <w:rsid w:val="00BF3663"/>
    <w:rsid w:val="00BF3830"/>
    <w:rsid w:val="00BF394D"/>
    <w:rsid w:val="00BF3A83"/>
    <w:rsid w:val="00BF3BEE"/>
    <w:rsid w:val="00BF3DBE"/>
    <w:rsid w:val="00BF3EBD"/>
    <w:rsid w:val="00BF3FB9"/>
    <w:rsid w:val="00BF42ED"/>
    <w:rsid w:val="00BF43EC"/>
    <w:rsid w:val="00BF4838"/>
    <w:rsid w:val="00BF4C93"/>
    <w:rsid w:val="00BF4DF7"/>
    <w:rsid w:val="00BF509A"/>
    <w:rsid w:val="00BF5470"/>
    <w:rsid w:val="00BF554A"/>
    <w:rsid w:val="00BF56EC"/>
    <w:rsid w:val="00BF5A24"/>
    <w:rsid w:val="00BF5C7F"/>
    <w:rsid w:val="00BF60E4"/>
    <w:rsid w:val="00BF6172"/>
    <w:rsid w:val="00BF632E"/>
    <w:rsid w:val="00BF639F"/>
    <w:rsid w:val="00BF66D5"/>
    <w:rsid w:val="00BF6762"/>
    <w:rsid w:val="00BF67D9"/>
    <w:rsid w:val="00BF691C"/>
    <w:rsid w:val="00BF7428"/>
    <w:rsid w:val="00BF74B3"/>
    <w:rsid w:val="00BF7538"/>
    <w:rsid w:val="00BF7680"/>
    <w:rsid w:val="00BF792F"/>
    <w:rsid w:val="00BF7F76"/>
    <w:rsid w:val="00C004D0"/>
    <w:rsid w:val="00C004D2"/>
    <w:rsid w:val="00C0058C"/>
    <w:rsid w:val="00C008BA"/>
    <w:rsid w:val="00C00B3A"/>
    <w:rsid w:val="00C00D95"/>
    <w:rsid w:val="00C0100C"/>
    <w:rsid w:val="00C01141"/>
    <w:rsid w:val="00C011FA"/>
    <w:rsid w:val="00C01640"/>
    <w:rsid w:val="00C01B06"/>
    <w:rsid w:val="00C020D9"/>
    <w:rsid w:val="00C02FDC"/>
    <w:rsid w:val="00C0405C"/>
    <w:rsid w:val="00C04139"/>
    <w:rsid w:val="00C0417D"/>
    <w:rsid w:val="00C042AF"/>
    <w:rsid w:val="00C04321"/>
    <w:rsid w:val="00C049E2"/>
    <w:rsid w:val="00C04C2B"/>
    <w:rsid w:val="00C04F70"/>
    <w:rsid w:val="00C05508"/>
    <w:rsid w:val="00C055C2"/>
    <w:rsid w:val="00C055EF"/>
    <w:rsid w:val="00C059C8"/>
    <w:rsid w:val="00C05D67"/>
    <w:rsid w:val="00C05EA7"/>
    <w:rsid w:val="00C06126"/>
    <w:rsid w:val="00C0629E"/>
    <w:rsid w:val="00C06C41"/>
    <w:rsid w:val="00C06C63"/>
    <w:rsid w:val="00C06EB8"/>
    <w:rsid w:val="00C07694"/>
    <w:rsid w:val="00C07B28"/>
    <w:rsid w:val="00C07B52"/>
    <w:rsid w:val="00C100CC"/>
    <w:rsid w:val="00C100F9"/>
    <w:rsid w:val="00C1022A"/>
    <w:rsid w:val="00C10426"/>
    <w:rsid w:val="00C10A15"/>
    <w:rsid w:val="00C10B72"/>
    <w:rsid w:val="00C10E69"/>
    <w:rsid w:val="00C10E87"/>
    <w:rsid w:val="00C11121"/>
    <w:rsid w:val="00C11374"/>
    <w:rsid w:val="00C11712"/>
    <w:rsid w:val="00C119F0"/>
    <w:rsid w:val="00C11D23"/>
    <w:rsid w:val="00C11E74"/>
    <w:rsid w:val="00C11EA9"/>
    <w:rsid w:val="00C1208F"/>
    <w:rsid w:val="00C129C8"/>
    <w:rsid w:val="00C12EBB"/>
    <w:rsid w:val="00C132DF"/>
    <w:rsid w:val="00C13371"/>
    <w:rsid w:val="00C133AE"/>
    <w:rsid w:val="00C133CB"/>
    <w:rsid w:val="00C136D5"/>
    <w:rsid w:val="00C138D6"/>
    <w:rsid w:val="00C13A92"/>
    <w:rsid w:val="00C14013"/>
    <w:rsid w:val="00C14305"/>
    <w:rsid w:val="00C14FD8"/>
    <w:rsid w:val="00C153EC"/>
    <w:rsid w:val="00C1574C"/>
    <w:rsid w:val="00C15985"/>
    <w:rsid w:val="00C15AD4"/>
    <w:rsid w:val="00C15B8D"/>
    <w:rsid w:val="00C1600E"/>
    <w:rsid w:val="00C160BC"/>
    <w:rsid w:val="00C16217"/>
    <w:rsid w:val="00C1639E"/>
    <w:rsid w:val="00C16685"/>
    <w:rsid w:val="00C168A4"/>
    <w:rsid w:val="00C168C6"/>
    <w:rsid w:val="00C16A56"/>
    <w:rsid w:val="00C16A80"/>
    <w:rsid w:val="00C1728E"/>
    <w:rsid w:val="00C17392"/>
    <w:rsid w:val="00C17745"/>
    <w:rsid w:val="00C17D14"/>
    <w:rsid w:val="00C17D9F"/>
    <w:rsid w:val="00C20137"/>
    <w:rsid w:val="00C20182"/>
    <w:rsid w:val="00C2030D"/>
    <w:rsid w:val="00C204DE"/>
    <w:rsid w:val="00C206CB"/>
    <w:rsid w:val="00C20848"/>
    <w:rsid w:val="00C209D3"/>
    <w:rsid w:val="00C20B17"/>
    <w:rsid w:val="00C20DE0"/>
    <w:rsid w:val="00C20F4E"/>
    <w:rsid w:val="00C2126D"/>
    <w:rsid w:val="00C214C1"/>
    <w:rsid w:val="00C215F7"/>
    <w:rsid w:val="00C21687"/>
    <w:rsid w:val="00C21837"/>
    <w:rsid w:val="00C21C91"/>
    <w:rsid w:val="00C21CC9"/>
    <w:rsid w:val="00C21E35"/>
    <w:rsid w:val="00C2210A"/>
    <w:rsid w:val="00C221BA"/>
    <w:rsid w:val="00C223F1"/>
    <w:rsid w:val="00C22550"/>
    <w:rsid w:val="00C22813"/>
    <w:rsid w:val="00C22DF3"/>
    <w:rsid w:val="00C22E46"/>
    <w:rsid w:val="00C231C2"/>
    <w:rsid w:val="00C23689"/>
    <w:rsid w:val="00C23859"/>
    <w:rsid w:val="00C23E31"/>
    <w:rsid w:val="00C23E8B"/>
    <w:rsid w:val="00C23F62"/>
    <w:rsid w:val="00C2412B"/>
    <w:rsid w:val="00C2430D"/>
    <w:rsid w:val="00C2448E"/>
    <w:rsid w:val="00C24547"/>
    <w:rsid w:val="00C24E1D"/>
    <w:rsid w:val="00C2523D"/>
    <w:rsid w:val="00C25447"/>
    <w:rsid w:val="00C2579E"/>
    <w:rsid w:val="00C25928"/>
    <w:rsid w:val="00C2593D"/>
    <w:rsid w:val="00C25BC4"/>
    <w:rsid w:val="00C25E1A"/>
    <w:rsid w:val="00C25F36"/>
    <w:rsid w:val="00C26059"/>
    <w:rsid w:val="00C26583"/>
    <w:rsid w:val="00C271F2"/>
    <w:rsid w:val="00C272C4"/>
    <w:rsid w:val="00C27736"/>
    <w:rsid w:val="00C278A1"/>
    <w:rsid w:val="00C30234"/>
    <w:rsid w:val="00C3023E"/>
    <w:rsid w:val="00C306AC"/>
    <w:rsid w:val="00C30897"/>
    <w:rsid w:val="00C30A7D"/>
    <w:rsid w:val="00C30CF3"/>
    <w:rsid w:val="00C30DAA"/>
    <w:rsid w:val="00C31019"/>
    <w:rsid w:val="00C31288"/>
    <w:rsid w:val="00C3139E"/>
    <w:rsid w:val="00C315C1"/>
    <w:rsid w:val="00C315E8"/>
    <w:rsid w:val="00C31608"/>
    <w:rsid w:val="00C31B37"/>
    <w:rsid w:val="00C31C56"/>
    <w:rsid w:val="00C31F07"/>
    <w:rsid w:val="00C32299"/>
    <w:rsid w:val="00C322F9"/>
    <w:rsid w:val="00C324CE"/>
    <w:rsid w:val="00C3293A"/>
    <w:rsid w:val="00C32AF9"/>
    <w:rsid w:val="00C330E0"/>
    <w:rsid w:val="00C33391"/>
    <w:rsid w:val="00C335A1"/>
    <w:rsid w:val="00C33600"/>
    <w:rsid w:val="00C33D33"/>
    <w:rsid w:val="00C33F2C"/>
    <w:rsid w:val="00C34119"/>
    <w:rsid w:val="00C3418E"/>
    <w:rsid w:val="00C344DF"/>
    <w:rsid w:val="00C345A0"/>
    <w:rsid w:val="00C34BF3"/>
    <w:rsid w:val="00C34FAE"/>
    <w:rsid w:val="00C3511B"/>
    <w:rsid w:val="00C35895"/>
    <w:rsid w:val="00C35ED4"/>
    <w:rsid w:val="00C36264"/>
    <w:rsid w:val="00C367B1"/>
    <w:rsid w:val="00C36A3E"/>
    <w:rsid w:val="00C36B2A"/>
    <w:rsid w:val="00C36F9E"/>
    <w:rsid w:val="00C37079"/>
    <w:rsid w:val="00C37260"/>
    <w:rsid w:val="00C37445"/>
    <w:rsid w:val="00C3758D"/>
    <w:rsid w:val="00C37A13"/>
    <w:rsid w:val="00C37A62"/>
    <w:rsid w:val="00C37B09"/>
    <w:rsid w:val="00C37C85"/>
    <w:rsid w:val="00C402BB"/>
    <w:rsid w:val="00C402EF"/>
    <w:rsid w:val="00C4045B"/>
    <w:rsid w:val="00C40485"/>
    <w:rsid w:val="00C40790"/>
    <w:rsid w:val="00C40A6F"/>
    <w:rsid w:val="00C40F96"/>
    <w:rsid w:val="00C41179"/>
    <w:rsid w:val="00C412EE"/>
    <w:rsid w:val="00C4131A"/>
    <w:rsid w:val="00C4139A"/>
    <w:rsid w:val="00C41A55"/>
    <w:rsid w:val="00C41C5A"/>
    <w:rsid w:val="00C4214E"/>
    <w:rsid w:val="00C4216E"/>
    <w:rsid w:val="00C424AF"/>
    <w:rsid w:val="00C42D5A"/>
    <w:rsid w:val="00C42D6F"/>
    <w:rsid w:val="00C430BE"/>
    <w:rsid w:val="00C433BD"/>
    <w:rsid w:val="00C4399C"/>
    <w:rsid w:val="00C43C72"/>
    <w:rsid w:val="00C44088"/>
    <w:rsid w:val="00C44451"/>
    <w:rsid w:val="00C44985"/>
    <w:rsid w:val="00C44B50"/>
    <w:rsid w:val="00C44CB4"/>
    <w:rsid w:val="00C44F53"/>
    <w:rsid w:val="00C452BD"/>
    <w:rsid w:val="00C45324"/>
    <w:rsid w:val="00C4539D"/>
    <w:rsid w:val="00C45434"/>
    <w:rsid w:val="00C45879"/>
    <w:rsid w:val="00C458AC"/>
    <w:rsid w:val="00C45AAA"/>
    <w:rsid w:val="00C45D70"/>
    <w:rsid w:val="00C45DB0"/>
    <w:rsid w:val="00C45DE4"/>
    <w:rsid w:val="00C45EF7"/>
    <w:rsid w:val="00C460F5"/>
    <w:rsid w:val="00C464E8"/>
    <w:rsid w:val="00C4667D"/>
    <w:rsid w:val="00C4684F"/>
    <w:rsid w:val="00C469DC"/>
    <w:rsid w:val="00C46D5F"/>
    <w:rsid w:val="00C4727C"/>
    <w:rsid w:val="00C47708"/>
    <w:rsid w:val="00C47CA9"/>
    <w:rsid w:val="00C47CEA"/>
    <w:rsid w:val="00C47F2E"/>
    <w:rsid w:val="00C47FED"/>
    <w:rsid w:val="00C5022E"/>
    <w:rsid w:val="00C50801"/>
    <w:rsid w:val="00C50A38"/>
    <w:rsid w:val="00C50B65"/>
    <w:rsid w:val="00C50E42"/>
    <w:rsid w:val="00C50EF2"/>
    <w:rsid w:val="00C50FD6"/>
    <w:rsid w:val="00C510DD"/>
    <w:rsid w:val="00C51269"/>
    <w:rsid w:val="00C5171B"/>
    <w:rsid w:val="00C521CC"/>
    <w:rsid w:val="00C52272"/>
    <w:rsid w:val="00C522A2"/>
    <w:rsid w:val="00C52735"/>
    <w:rsid w:val="00C52811"/>
    <w:rsid w:val="00C529E5"/>
    <w:rsid w:val="00C52AB9"/>
    <w:rsid w:val="00C52CA4"/>
    <w:rsid w:val="00C52D34"/>
    <w:rsid w:val="00C52ED0"/>
    <w:rsid w:val="00C531DD"/>
    <w:rsid w:val="00C53572"/>
    <w:rsid w:val="00C53582"/>
    <w:rsid w:val="00C538C1"/>
    <w:rsid w:val="00C53AEA"/>
    <w:rsid w:val="00C53F8A"/>
    <w:rsid w:val="00C53FF7"/>
    <w:rsid w:val="00C5442E"/>
    <w:rsid w:val="00C547F3"/>
    <w:rsid w:val="00C54BBD"/>
    <w:rsid w:val="00C54BEB"/>
    <w:rsid w:val="00C54C3F"/>
    <w:rsid w:val="00C54E29"/>
    <w:rsid w:val="00C550E6"/>
    <w:rsid w:val="00C55583"/>
    <w:rsid w:val="00C555C6"/>
    <w:rsid w:val="00C5571D"/>
    <w:rsid w:val="00C5598D"/>
    <w:rsid w:val="00C55B2A"/>
    <w:rsid w:val="00C55D04"/>
    <w:rsid w:val="00C55ED3"/>
    <w:rsid w:val="00C56631"/>
    <w:rsid w:val="00C5694C"/>
    <w:rsid w:val="00C56C7E"/>
    <w:rsid w:val="00C56E71"/>
    <w:rsid w:val="00C56F86"/>
    <w:rsid w:val="00C5730F"/>
    <w:rsid w:val="00C57616"/>
    <w:rsid w:val="00C57814"/>
    <w:rsid w:val="00C57E7B"/>
    <w:rsid w:val="00C60029"/>
    <w:rsid w:val="00C60182"/>
    <w:rsid w:val="00C603DB"/>
    <w:rsid w:val="00C6047C"/>
    <w:rsid w:val="00C60484"/>
    <w:rsid w:val="00C604D9"/>
    <w:rsid w:val="00C60772"/>
    <w:rsid w:val="00C60B0C"/>
    <w:rsid w:val="00C61008"/>
    <w:rsid w:val="00C61285"/>
    <w:rsid w:val="00C613E6"/>
    <w:rsid w:val="00C61412"/>
    <w:rsid w:val="00C61483"/>
    <w:rsid w:val="00C61505"/>
    <w:rsid w:val="00C6161B"/>
    <w:rsid w:val="00C61971"/>
    <w:rsid w:val="00C61C41"/>
    <w:rsid w:val="00C61C63"/>
    <w:rsid w:val="00C61CE3"/>
    <w:rsid w:val="00C61E64"/>
    <w:rsid w:val="00C61FC4"/>
    <w:rsid w:val="00C62102"/>
    <w:rsid w:val="00C62182"/>
    <w:rsid w:val="00C62308"/>
    <w:rsid w:val="00C62343"/>
    <w:rsid w:val="00C6266D"/>
    <w:rsid w:val="00C62865"/>
    <w:rsid w:val="00C6290F"/>
    <w:rsid w:val="00C62DFA"/>
    <w:rsid w:val="00C63012"/>
    <w:rsid w:val="00C63560"/>
    <w:rsid w:val="00C63616"/>
    <w:rsid w:val="00C63735"/>
    <w:rsid w:val="00C63755"/>
    <w:rsid w:val="00C63815"/>
    <w:rsid w:val="00C63ACB"/>
    <w:rsid w:val="00C63C1A"/>
    <w:rsid w:val="00C63D1F"/>
    <w:rsid w:val="00C63F87"/>
    <w:rsid w:val="00C64333"/>
    <w:rsid w:val="00C64519"/>
    <w:rsid w:val="00C64816"/>
    <w:rsid w:val="00C64C13"/>
    <w:rsid w:val="00C64CA7"/>
    <w:rsid w:val="00C64E1E"/>
    <w:rsid w:val="00C64E8B"/>
    <w:rsid w:val="00C65023"/>
    <w:rsid w:val="00C65068"/>
    <w:rsid w:val="00C6522A"/>
    <w:rsid w:val="00C659B0"/>
    <w:rsid w:val="00C659BE"/>
    <w:rsid w:val="00C65E9D"/>
    <w:rsid w:val="00C6601E"/>
    <w:rsid w:val="00C66091"/>
    <w:rsid w:val="00C667B6"/>
    <w:rsid w:val="00C66997"/>
    <w:rsid w:val="00C66A49"/>
    <w:rsid w:val="00C66BFC"/>
    <w:rsid w:val="00C66DBF"/>
    <w:rsid w:val="00C670FA"/>
    <w:rsid w:val="00C673DC"/>
    <w:rsid w:val="00C67422"/>
    <w:rsid w:val="00C67514"/>
    <w:rsid w:val="00C677D6"/>
    <w:rsid w:val="00C678B3"/>
    <w:rsid w:val="00C67ACA"/>
    <w:rsid w:val="00C67B8A"/>
    <w:rsid w:val="00C67B92"/>
    <w:rsid w:val="00C67CEB"/>
    <w:rsid w:val="00C67E3B"/>
    <w:rsid w:val="00C7007D"/>
    <w:rsid w:val="00C70203"/>
    <w:rsid w:val="00C7030E"/>
    <w:rsid w:val="00C70840"/>
    <w:rsid w:val="00C708C4"/>
    <w:rsid w:val="00C70A17"/>
    <w:rsid w:val="00C70B80"/>
    <w:rsid w:val="00C7105B"/>
    <w:rsid w:val="00C710B9"/>
    <w:rsid w:val="00C713AB"/>
    <w:rsid w:val="00C7151E"/>
    <w:rsid w:val="00C716CA"/>
    <w:rsid w:val="00C7184B"/>
    <w:rsid w:val="00C718E2"/>
    <w:rsid w:val="00C71AF3"/>
    <w:rsid w:val="00C71D3C"/>
    <w:rsid w:val="00C71F19"/>
    <w:rsid w:val="00C71FF4"/>
    <w:rsid w:val="00C72067"/>
    <w:rsid w:val="00C7216F"/>
    <w:rsid w:val="00C724D2"/>
    <w:rsid w:val="00C725A9"/>
    <w:rsid w:val="00C725F7"/>
    <w:rsid w:val="00C72A9F"/>
    <w:rsid w:val="00C72CC0"/>
    <w:rsid w:val="00C73209"/>
    <w:rsid w:val="00C73295"/>
    <w:rsid w:val="00C73303"/>
    <w:rsid w:val="00C73651"/>
    <w:rsid w:val="00C7366F"/>
    <w:rsid w:val="00C73A19"/>
    <w:rsid w:val="00C73BB4"/>
    <w:rsid w:val="00C73C42"/>
    <w:rsid w:val="00C7416E"/>
    <w:rsid w:val="00C741D2"/>
    <w:rsid w:val="00C7438C"/>
    <w:rsid w:val="00C7448A"/>
    <w:rsid w:val="00C747BA"/>
    <w:rsid w:val="00C74835"/>
    <w:rsid w:val="00C7493C"/>
    <w:rsid w:val="00C7495B"/>
    <w:rsid w:val="00C749DD"/>
    <w:rsid w:val="00C74A51"/>
    <w:rsid w:val="00C74E94"/>
    <w:rsid w:val="00C7516C"/>
    <w:rsid w:val="00C75416"/>
    <w:rsid w:val="00C754C7"/>
    <w:rsid w:val="00C758DE"/>
    <w:rsid w:val="00C759DA"/>
    <w:rsid w:val="00C75C20"/>
    <w:rsid w:val="00C75E5E"/>
    <w:rsid w:val="00C760AE"/>
    <w:rsid w:val="00C76475"/>
    <w:rsid w:val="00C764D9"/>
    <w:rsid w:val="00C766FA"/>
    <w:rsid w:val="00C76A14"/>
    <w:rsid w:val="00C771AC"/>
    <w:rsid w:val="00C774D3"/>
    <w:rsid w:val="00C777BC"/>
    <w:rsid w:val="00C77AAE"/>
    <w:rsid w:val="00C77C74"/>
    <w:rsid w:val="00C8027C"/>
    <w:rsid w:val="00C80379"/>
    <w:rsid w:val="00C8038C"/>
    <w:rsid w:val="00C806E9"/>
    <w:rsid w:val="00C809B9"/>
    <w:rsid w:val="00C809D3"/>
    <w:rsid w:val="00C80CFE"/>
    <w:rsid w:val="00C80E1C"/>
    <w:rsid w:val="00C8101D"/>
    <w:rsid w:val="00C8144E"/>
    <w:rsid w:val="00C81515"/>
    <w:rsid w:val="00C81AB5"/>
    <w:rsid w:val="00C81DD6"/>
    <w:rsid w:val="00C81E86"/>
    <w:rsid w:val="00C81F88"/>
    <w:rsid w:val="00C82182"/>
    <w:rsid w:val="00C823A6"/>
    <w:rsid w:val="00C825FE"/>
    <w:rsid w:val="00C8267B"/>
    <w:rsid w:val="00C82899"/>
    <w:rsid w:val="00C82B19"/>
    <w:rsid w:val="00C82C0D"/>
    <w:rsid w:val="00C82EBD"/>
    <w:rsid w:val="00C83013"/>
    <w:rsid w:val="00C8320B"/>
    <w:rsid w:val="00C83853"/>
    <w:rsid w:val="00C83B78"/>
    <w:rsid w:val="00C83BC5"/>
    <w:rsid w:val="00C83CCC"/>
    <w:rsid w:val="00C8441F"/>
    <w:rsid w:val="00C84767"/>
    <w:rsid w:val="00C849C0"/>
    <w:rsid w:val="00C849C5"/>
    <w:rsid w:val="00C84B67"/>
    <w:rsid w:val="00C84DC4"/>
    <w:rsid w:val="00C85070"/>
    <w:rsid w:val="00C854A8"/>
    <w:rsid w:val="00C85755"/>
    <w:rsid w:val="00C85AD5"/>
    <w:rsid w:val="00C85B48"/>
    <w:rsid w:val="00C85EAA"/>
    <w:rsid w:val="00C860CA"/>
    <w:rsid w:val="00C86957"/>
    <w:rsid w:val="00C86992"/>
    <w:rsid w:val="00C86E67"/>
    <w:rsid w:val="00C87093"/>
    <w:rsid w:val="00C870F8"/>
    <w:rsid w:val="00C8721E"/>
    <w:rsid w:val="00C87659"/>
    <w:rsid w:val="00C878E9"/>
    <w:rsid w:val="00C87B5F"/>
    <w:rsid w:val="00C87BC3"/>
    <w:rsid w:val="00C87E06"/>
    <w:rsid w:val="00C87EDD"/>
    <w:rsid w:val="00C9013D"/>
    <w:rsid w:val="00C902A4"/>
    <w:rsid w:val="00C903DC"/>
    <w:rsid w:val="00C90771"/>
    <w:rsid w:val="00C907FF"/>
    <w:rsid w:val="00C90BB3"/>
    <w:rsid w:val="00C90D51"/>
    <w:rsid w:val="00C90D5F"/>
    <w:rsid w:val="00C90E2B"/>
    <w:rsid w:val="00C90E3D"/>
    <w:rsid w:val="00C90F01"/>
    <w:rsid w:val="00C91121"/>
    <w:rsid w:val="00C9113C"/>
    <w:rsid w:val="00C91586"/>
    <w:rsid w:val="00C9170E"/>
    <w:rsid w:val="00C919FF"/>
    <w:rsid w:val="00C91DBB"/>
    <w:rsid w:val="00C91F90"/>
    <w:rsid w:val="00C92086"/>
    <w:rsid w:val="00C920C2"/>
    <w:rsid w:val="00C92420"/>
    <w:rsid w:val="00C9257B"/>
    <w:rsid w:val="00C9285F"/>
    <w:rsid w:val="00C92AFD"/>
    <w:rsid w:val="00C92E03"/>
    <w:rsid w:val="00C92F4E"/>
    <w:rsid w:val="00C93080"/>
    <w:rsid w:val="00C93152"/>
    <w:rsid w:val="00C93315"/>
    <w:rsid w:val="00C93976"/>
    <w:rsid w:val="00C93F90"/>
    <w:rsid w:val="00C940BF"/>
    <w:rsid w:val="00C941AB"/>
    <w:rsid w:val="00C945D8"/>
    <w:rsid w:val="00C94604"/>
    <w:rsid w:val="00C9477F"/>
    <w:rsid w:val="00C947F0"/>
    <w:rsid w:val="00C94F07"/>
    <w:rsid w:val="00C950C5"/>
    <w:rsid w:val="00C95179"/>
    <w:rsid w:val="00C951A6"/>
    <w:rsid w:val="00C951D2"/>
    <w:rsid w:val="00C95201"/>
    <w:rsid w:val="00C95346"/>
    <w:rsid w:val="00C95369"/>
    <w:rsid w:val="00C955CD"/>
    <w:rsid w:val="00C955F0"/>
    <w:rsid w:val="00C95744"/>
    <w:rsid w:val="00C95985"/>
    <w:rsid w:val="00C95AD4"/>
    <w:rsid w:val="00C95DEA"/>
    <w:rsid w:val="00C95E7A"/>
    <w:rsid w:val="00C96218"/>
    <w:rsid w:val="00C962B6"/>
    <w:rsid w:val="00C9638D"/>
    <w:rsid w:val="00C9647E"/>
    <w:rsid w:val="00C96484"/>
    <w:rsid w:val="00C970BE"/>
    <w:rsid w:val="00C97317"/>
    <w:rsid w:val="00C974FC"/>
    <w:rsid w:val="00C974FD"/>
    <w:rsid w:val="00C9796C"/>
    <w:rsid w:val="00C97B29"/>
    <w:rsid w:val="00C97E32"/>
    <w:rsid w:val="00CA08A2"/>
    <w:rsid w:val="00CA0AF3"/>
    <w:rsid w:val="00CA0C0B"/>
    <w:rsid w:val="00CA115B"/>
    <w:rsid w:val="00CA141C"/>
    <w:rsid w:val="00CA1674"/>
    <w:rsid w:val="00CA168B"/>
    <w:rsid w:val="00CA168F"/>
    <w:rsid w:val="00CA18DA"/>
    <w:rsid w:val="00CA1F55"/>
    <w:rsid w:val="00CA21F9"/>
    <w:rsid w:val="00CA2264"/>
    <w:rsid w:val="00CA234F"/>
    <w:rsid w:val="00CA247D"/>
    <w:rsid w:val="00CA24BE"/>
    <w:rsid w:val="00CA24D2"/>
    <w:rsid w:val="00CA2621"/>
    <w:rsid w:val="00CA281D"/>
    <w:rsid w:val="00CA29C8"/>
    <w:rsid w:val="00CA2ED0"/>
    <w:rsid w:val="00CA2FAB"/>
    <w:rsid w:val="00CA3119"/>
    <w:rsid w:val="00CA3161"/>
    <w:rsid w:val="00CA3593"/>
    <w:rsid w:val="00CA3678"/>
    <w:rsid w:val="00CA3B5D"/>
    <w:rsid w:val="00CA3B6C"/>
    <w:rsid w:val="00CA3CAF"/>
    <w:rsid w:val="00CA3E5C"/>
    <w:rsid w:val="00CA4125"/>
    <w:rsid w:val="00CA4243"/>
    <w:rsid w:val="00CA42AA"/>
    <w:rsid w:val="00CA44C8"/>
    <w:rsid w:val="00CA4506"/>
    <w:rsid w:val="00CA4717"/>
    <w:rsid w:val="00CA47AD"/>
    <w:rsid w:val="00CA489C"/>
    <w:rsid w:val="00CA4C4E"/>
    <w:rsid w:val="00CA4CED"/>
    <w:rsid w:val="00CA4E5D"/>
    <w:rsid w:val="00CA50A6"/>
    <w:rsid w:val="00CA535E"/>
    <w:rsid w:val="00CA5379"/>
    <w:rsid w:val="00CA5422"/>
    <w:rsid w:val="00CA5581"/>
    <w:rsid w:val="00CA5608"/>
    <w:rsid w:val="00CA56FB"/>
    <w:rsid w:val="00CA5AA6"/>
    <w:rsid w:val="00CA5C9F"/>
    <w:rsid w:val="00CA5DAC"/>
    <w:rsid w:val="00CA62C9"/>
    <w:rsid w:val="00CA652F"/>
    <w:rsid w:val="00CA6AAE"/>
    <w:rsid w:val="00CA6AB3"/>
    <w:rsid w:val="00CA6EC6"/>
    <w:rsid w:val="00CA70B0"/>
    <w:rsid w:val="00CA7170"/>
    <w:rsid w:val="00CA7196"/>
    <w:rsid w:val="00CA7256"/>
    <w:rsid w:val="00CA75FC"/>
    <w:rsid w:val="00CA7695"/>
    <w:rsid w:val="00CA7745"/>
    <w:rsid w:val="00CA79FA"/>
    <w:rsid w:val="00CA7E34"/>
    <w:rsid w:val="00CB0273"/>
    <w:rsid w:val="00CB06BA"/>
    <w:rsid w:val="00CB079E"/>
    <w:rsid w:val="00CB081E"/>
    <w:rsid w:val="00CB094A"/>
    <w:rsid w:val="00CB0DA7"/>
    <w:rsid w:val="00CB0F08"/>
    <w:rsid w:val="00CB0F3A"/>
    <w:rsid w:val="00CB11E0"/>
    <w:rsid w:val="00CB13A4"/>
    <w:rsid w:val="00CB1442"/>
    <w:rsid w:val="00CB155F"/>
    <w:rsid w:val="00CB1700"/>
    <w:rsid w:val="00CB19DB"/>
    <w:rsid w:val="00CB1AF7"/>
    <w:rsid w:val="00CB1E44"/>
    <w:rsid w:val="00CB244A"/>
    <w:rsid w:val="00CB27F8"/>
    <w:rsid w:val="00CB2A16"/>
    <w:rsid w:val="00CB2B6F"/>
    <w:rsid w:val="00CB33D7"/>
    <w:rsid w:val="00CB3492"/>
    <w:rsid w:val="00CB36A3"/>
    <w:rsid w:val="00CB3714"/>
    <w:rsid w:val="00CB3815"/>
    <w:rsid w:val="00CB38C7"/>
    <w:rsid w:val="00CB3914"/>
    <w:rsid w:val="00CB3961"/>
    <w:rsid w:val="00CB3BBA"/>
    <w:rsid w:val="00CB3EF1"/>
    <w:rsid w:val="00CB3F0C"/>
    <w:rsid w:val="00CB3F81"/>
    <w:rsid w:val="00CB4584"/>
    <w:rsid w:val="00CB45CC"/>
    <w:rsid w:val="00CB490E"/>
    <w:rsid w:val="00CB4943"/>
    <w:rsid w:val="00CB4AEF"/>
    <w:rsid w:val="00CB4DA5"/>
    <w:rsid w:val="00CB4DE2"/>
    <w:rsid w:val="00CB544B"/>
    <w:rsid w:val="00CB56DA"/>
    <w:rsid w:val="00CB5815"/>
    <w:rsid w:val="00CB5B9E"/>
    <w:rsid w:val="00CB5EA6"/>
    <w:rsid w:val="00CB5FA0"/>
    <w:rsid w:val="00CB6391"/>
    <w:rsid w:val="00CB654B"/>
    <w:rsid w:val="00CB6E5E"/>
    <w:rsid w:val="00CB76CC"/>
    <w:rsid w:val="00CB78CD"/>
    <w:rsid w:val="00CB795A"/>
    <w:rsid w:val="00CB797F"/>
    <w:rsid w:val="00CB7999"/>
    <w:rsid w:val="00CB7DA2"/>
    <w:rsid w:val="00CB7E43"/>
    <w:rsid w:val="00CC004A"/>
    <w:rsid w:val="00CC0106"/>
    <w:rsid w:val="00CC01ED"/>
    <w:rsid w:val="00CC0244"/>
    <w:rsid w:val="00CC0A65"/>
    <w:rsid w:val="00CC11C7"/>
    <w:rsid w:val="00CC14BE"/>
    <w:rsid w:val="00CC152B"/>
    <w:rsid w:val="00CC1624"/>
    <w:rsid w:val="00CC18E5"/>
    <w:rsid w:val="00CC1B29"/>
    <w:rsid w:val="00CC1FE5"/>
    <w:rsid w:val="00CC208E"/>
    <w:rsid w:val="00CC24C1"/>
    <w:rsid w:val="00CC290C"/>
    <w:rsid w:val="00CC2E49"/>
    <w:rsid w:val="00CC351C"/>
    <w:rsid w:val="00CC38AD"/>
    <w:rsid w:val="00CC3D48"/>
    <w:rsid w:val="00CC3D7E"/>
    <w:rsid w:val="00CC3F6E"/>
    <w:rsid w:val="00CC4109"/>
    <w:rsid w:val="00CC410B"/>
    <w:rsid w:val="00CC4125"/>
    <w:rsid w:val="00CC43E7"/>
    <w:rsid w:val="00CC4563"/>
    <w:rsid w:val="00CC458F"/>
    <w:rsid w:val="00CC469B"/>
    <w:rsid w:val="00CC4B66"/>
    <w:rsid w:val="00CC4C21"/>
    <w:rsid w:val="00CC5328"/>
    <w:rsid w:val="00CC546C"/>
    <w:rsid w:val="00CC5F87"/>
    <w:rsid w:val="00CC6082"/>
    <w:rsid w:val="00CC65FA"/>
    <w:rsid w:val="00CC678E"/>
    <w:rsid w:val="00CC6839"/>
    <w:rsid w:val="00CC6C1F"/>
    <w:rsid w:val="00CC6C6E"/>
    <w:rsid w:val="00CC6C76"/>
    <w:rsid w:val="00CC6D36"/>
    <w:rsid w:val="00CC70F8"/>
    <w:rsid w:val="00CC76E6"/>
    <w:rsid w:val="00CC7979"/>
    <w:rsid w:val="00CC7B05"/>
    <w:rsid w:val="00CC7B44"/>
    <w:rsid w:val="00CC7E38"/>
    <w:rsid w:val="00CC7FD1"/>
    <w:rsid w:val="00CC7FFB"/>
    <w:rsid w:val="00CD00AE"/>
    <w:rsid w:val="00CD01E6"/>
    <w:rsid w:val="00CD0458"/>
    <w:rsid w:val="00CD05C8"/>
    <w:rsid w:val="00CD05CE"/>
    <w:rsid w:val="00CD06F2"/>
    <w:rsid w:val="00CD07F6"/>
    <w:rsid w:val="00CD089F"/>
    <w:rsid w:val="00CD0E99"/>
    <w:rsid w:val="00CD1101"/>
    <w:rsid w:val="00CD171B"/>
    <w:rsid w:val="00CD17E1"/>
    <w:rsid w:val="00CD1A92"/>
    <w:rsid w:val="00CD1BB4"/>
    <w:rsid w:val="00CD1F55"/>
    <w:rsid w:val="00CD23CA"/>
    <w:rsid w:val="00CD27F9"/>
    <w:rsid w:val="00CD2902"/>
    <w:rsid w:val="00CD2DB9"/>
    <w:rsid w:val="00CD3291"/>
    <w:rsid w:val="00CD3495"/>
    <w:rsid w:val="00CD3619"/>
    <w:rsid w:val="00CD37B3"/>
    <w:rsid w:val="00CD3D5C"/>
    <w:rsid w:val="00CD3DBF"/>
    <w:rsid w:val="00CD3EC5"/>
    <w:rsid w:val="00CD3F28"/>
    <w:rsid w:val="00CD43D8"/>
    <w:rsid w:val="00CD448F"/>
    <w:rsid w:val="00CD4600"/>
    <w:rsid w:val="00CD49B2"/>
    <w:rsid w:val="00CD49C0"/>
    <w:rsid w:val="00CD4CE0"/>
    <w:rsid w:val="00CD50A2"/>
    <w:rsid w:val="00CD5106"/>
    <w:rsid w:val="00CD549E"/>
    <w:rsid w:val="00CD5530"/>
    <w:rsid w:val="00CD558A"/>
    <w:rsid w:val="00CD55D2"/>
    <w:rsid w:val="00CD57ED"/>
    <w:rsid w:val="00CD592C"/>
    <w:rsid w:val="00CD5D5F"/>
    <w:rsid w:val="00CD5D79"/>
    <w:rsid w:val="00CD5E1D"/>
    <w:rsid w:val="00CD624A"/>
    <w:rsid w:val="00CD6552"/>
    <w:rsid w:val="00CD6721"/>
    <w:rsid w:val="00CD69CD"/>
    <w:rsid w:val="00CD6AAD"/>
    <w:rsid w:val="00CD6ED2"/>
    <w:rsid w:val="00CD7171"/>
    <w:rsid w:val="00CD7610"/>
    <w:rsid w:val="00CD763E"/>
    <w:rsid w:val="00CD7A4D"/>
    <w:rsid w:val="00CD7B98"/>
    <w:rsid w:val="00CE01AD"/>
    <w:rsid w:val="00CE077E"/>
    <w:rsid w:val="00CE07BA"/>
    <w:rsid w:val="00CE0975"/>
    <w:rsid w:val="00CE0A18"/>
    <w:rsid w:val="00CE0A2C"/>
    <w:rsid w:val="00CE0C79"/>
    <w:rsid w:val="00CE0DC1"/>
    <w:rsid w:val="00CE0EBE"/>
    <w:rsid w:val="00CE0F10"/>
    <w:rsid w:val="00CE14CF"/>
    <w:rsid w:val="00CE1A22"/>
    <w:rsid w:val="00CE1BD9"/>
    <w:rsid w:val="00CE2202"/>
    <w:rsid w:val="00CE2781"/>
    <w:rsid w:val="00CE27DD"/>
    <w:rsid w:val="00CE2804"/>
    <w:rsid w:val="00CE2B12"/>
    <w:rsid w:val="00CE33DA"/>
    <w:rsid w:val="00CE37BE"/>
    <w:rsid w:val="00CE3BE7"/>
    <w:rsid w:val="00CE3C10"/>
    <w:rsid w:val="00CE3C27"/>
    <w:rsid w:val="00CE40E1"/>
    <w:rsid w:val="00CE411D"/>
    <w:rsid w:val="00CE42A8"/>
    <w:rsid w:val="00CE43B8"/>
    <w:rsid w:val="00CE4518"/>
    <w:rsid w:val="00CE46A9"/>
    <w:rsid w:val="00CE4B9C"/>
    <w:rsid w:val="00CE4BF7"/>
    <w:rsid w:val="00CE4D8F"/>
    <w:rsid w:val="00CE4E80"/>
    <w:rsid w:val="00CE5436"/>
    <w:rsid w:val="00CE58EE"/>
    <w:rsid w:val="00CE5D62"/>
    <w:rsid w:val="00CE5D8D"/>
    <w:rsid w:val="00CE5F83"/>
    <w:rsid w:val="00CE608C"/>
    <w:rsid w:val="00CE60E5"/>
    <w:rsid w:val="00CE63F7"/>
    <w:rsid w:val="00CE6634"/>
    <w:rsid w:val="00CE6786"/>
    <w:rsid w:val="00CE68FC"/>
    <w:rsid w:val="00CE6907"/>
    <w:rsid w:val="00CE6EDE"/>
    <w:rsid w:val="00CE7059"/>
    <w:rsid w:val="00CE70F1"/>
    <w:rsid w:val="00CE73BA"/>
    <w:rsid w:val="00CE76C2"/>
    <w:rsid w:val="00CE7847"/>
    <w:rsid w:val="00CE7A06"/>
    <w:rsid w:val="00CE7A1C"/>
    <w:rsid w:val="00CE7C31"/>
    <w:rsid w:val="00CE7C8B"/>
    <w:rsid w:val="00CE7D73"/>
    <w:rsid w:val="00CE7F4F"/>
    <w:rsid w:val="00CF002E"/>
    <w:rsid w:val="00CF02AC"/>
    <w:rsid w:val="00CF08D6"/>
    <w:rsid w:val="00CF0980"/>
    <w:rsid w:val="00CF0A5D"/>
    <w:rsid w:val="00CF0BD5"/>
    <w:rsid w:val="00CF0E66"/>
    <w:rsid w:val="00CF0E7D"/>
    <w:rsid w:val="00CF11E6"/>
    <w:rsid w:val="00CF142C"/>
    <w:rsid w:val="00CF1BF4"/>
    <w:rsid w:val="00CF1D02"/>
    <w:rsid w:val="00CF1E70"/>
    <w:rsid w:val="00CF2143"/>
    <w:rsid w:val="00CF23ED"/>
    <w:rsid w:val="00CF2838"/>
    <w:rsid w:val="00CF2D01"/>
    <w:rsid w:val="00CF2F19"/>
    <w:rsid w:val="00CF3137"/>
    <w:rsid w:val="00CF3220"/>
    <w:rsid w:val="00CF3472"/>
    <w:rsid w:val="00CF3A81"/>
    <w:rsid w:val="00CF3B5E"/>
    <w:rsid w:val="00CF3C64"/>
    <w:rsid w:val="00CF3D62"/>
    <w:rsid w:val="00CF3DB6"/>
    <w:rsid w:val="00CF4533"/>
    <w:rsid w:val="00CF4639"/>
    <w:rsid w:val="00CF4656"/>
    <w:rsid w:val="00CF4752"/>
    <w:rsid w:val="00CF47C2"/>
    <w:rsid w:val="00CF4A34"/>
    <w:rsid w:val="00CF5168"/>
    <w:rsid w:val="00CF5461"/>
    <w:rsid w:val="00CF54C8"/>
    <w:rsid w:val="00CF5587"/>
    <w:rsid w:val="00CF5734"/>
    <w:rsid w:val="00CF57D6"/>
    <w:rsid w:val="00CF59AD"/>
    <w:rsid w:val="00CF62BB"/>
    <w:rsid w:val="00CF633A"/>
    <w:rsid w:val="00CF66ED"/>
    <w:rsid w:val="00CF6996"/>
    <w:rsid w:val="00CF6BCD"/>
    <w:rsid w:val="00CF6F6C"/>
    <w:rsid w:val="00CF6FBF"/>
    <w:rsid w:val="00CF718B"/>
    <w:rsid w:val="00CF7357"/>
    <w:rsid w:val="00CF7606"/>
    <w:rsid w:val="00CF76A0"/>
    <w:rsid w:val="00CF7811"/>
    <w:rsid w:val="00CF7D49"/>
    <w:rsid w:val="00D00060"/>
    <w:rsid w:val="00D000D4"/>
    <w:rsid w:val="00D00E5F"/>
    <w:rsid w:val="00D00EC0"/>
    <w:rsid w:val="00D01052"/>
    <w:rsid w:val="00D01391"/>
    <w:rsid w:val="00D0140B"/>
    <w:rsid w:val="00D014F8"/>
    <w:rsid w:val="00D0187E"/>
    <w:rsid w:val="00D0198F"/>
    <w:rsid w:val="00D01AF0"/>
    <w:rsid w:val="00D01DBA"/>
    <w:rsid w:val="00D01FC3"/>
    <w:rsid w:val="00D020D2"/>
    <w:rsid w:val="00D024EB"/>
    <w:rsid w:val="00D0291E"/>
    <w:rsid w:val="00D02AF6"/>
    <w:rsid w:val="00D02B08"/>
    <w:rsid w:val="00D03081"/>
    <w:rsid w:val="00D030FB"/>
    <w:rsid w:val="00D03269"/>
    <w:rsid w:val="00D0334E"/>
    <w:rsid w:val="00D0342F"/>
    <w:rsid w:val="00D03A3C"/>
    <w:rsid w:val="00D03A71"/>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441"/>
    <w:rsid w:val="00D06A77"/>
    <w:rsid w:val="00D06B13"/>
    <w:rsid w:val="00D06C61"/>
    <w:rsid w:val="00D06DA7"/>
    <w:rsid w:val="00D06DBB"/>
    <w:rsid w:val="00D06E04"/>
    <w:rsid w:val="00D073AE"/>
    <w:rsid w:val="00D07500"/>
    <w:rsid w:val="00D077D1"/>
    <w:rsid w:val="00D07866"/>
    <w:rsid w:val="00D078A8"/>
    <w:rsid w:val="00D07D2E"/>
    <w:rsid w:val="00D1071E"/>
    <w:rsid w:val="00D10EA7"/>
    <w:rsid w:val="00D110BC"/>
    <w:rsid w:val="00D11113"/>
    <w:rsid w:val="00D11790"/>
    <w:rsid w:val="00D11E4A"/>
    <w:rsid w:val="00D120DB"/>
    <w:rsid w:val="00D12206"/>
    <w:rsid w:val="00D12684"/>
    <w:rsid w:val="00D12935"/>
    <w:rsid w:val="00D13103"/>
    <w:rsid w:val="00D13239"/>
    <w:rsid w:val="00D135FE"/>
    <w:rsid w:val="00D13624"/>
    <w:rsid w:val="00D1388B"/>
    <w:rsid w:val="00D13AF7"/>
    <w:rsid w:val="00D13C73"/>
    <w:rsid w:val="00D13CFC"/>
    <w:rsid w:val="00D14001"/>
    <w:rsid w:val="00D1449B"/>
    <w:rsid w:val="00D147BF"/>
    <w:rsid w:val="00D14BDC"/>
    <w:rsid w:val="00D151AC"/>
    <w:rsid w:val="00D152CF"/>
    <w:rsid w:val="00D15435"/>
    <w:rsid w:val="00D1547D"/>
    <w:rsid w:val="00D15834"/>
    <w:rsid w:val="00D15876"/>
    <w:rsid w:val="00D15AEB"/>
    <w:rsid w:val="00D15D1D"/>
    <w:rsid w:val="00D16BAE"/>
    <w:rsid w:val="00D16CAE"/>
    <w:rsid w:val="00D16E87"/>
    <w:rsid w:val="00D16EB2"/>
    <w:rsid w:val="00D17334"/>
    <w:rsid w:val="00D1763C"/>
    <w:rsid w:val="00D17737"/>
    <w:rsid w:val="00D17CD1"/>
    <w:rsid w:val="00D17D04"/>
    <w:rsid w:val="00D17D34"/>
    <w:rsid w:val="00D17EFB"/>
    <w:rsid w:val="00D2017A"/>
    <w:rsid w:val="00D207E2"/>
    <w:rsid w:val="00D209D5"/>
    <w:rsid w:val="00D20A32"/>
    <w:rsid w:val="00D20AB0"/>
    <w:rsid w:val="00D20DDE"/>
    <w:rsid w:val="00D21079"/>
    <w:rsid w:val="00D214F5"/>
    <w:rsid w:val="00D21505"/>
    <w:rsid w:val="00D21519"/>
    <w:rsid w:val="00D217A7"/>
    <w:rsid w:val="00D21A34"/>
    <w:rsid w:val="00D21F7A"/>
    <w:rsid w:val="00D2280B"/>
    <w:rsid w:val="00D228AF"/>
    <w:rsid w:val="00D22944"/>
    <w:rsid w:val="00D22B19"/>
    <w:rsid w:val="00D22DA4"/>
    <w:rsid w:val="00D22E1A"/>
    <w:rsid w:val="00D22EDE"/>
    <w:rsid w:val="00D233A3"/>
    <w:rsid w:val="00D235AC"/>
    <w:rsid w:val="00D23679"/>
    <w:rsid w:val="00D2389D"/>
    <w:rsid w:val="00D23E66"/>
    <w:rsid w:val="00D241CB"/>
    <w:rsid w:val="00D24546"/>
    <w:rsid w:val="00D24B5B"/>
    <w:rsid w:val="00D24BE2"/>
    <w:rsid w:val="00D24EAE"/>
    <w:rsid w:val="00D25032"/>
    <w:rsid w:val="00D25335"/>
    <w:rsid w:val="00D25398"/>
    <w:rsid w:val="00D253C5"/>
    <w:rsid w:val="00D253E7"/>
    <w:rsid w:val="00D255BB"/>
    <w:rsid w:val="00D259A5"/>
    <w:rsid w:val="00D25C6F"/>
    <w:rsid w:val="00D25FE8"/>
    <w:rsid w:val="00D262EE"/>
    <w:rsid w:val="00D2660D"/>
    <w:rsid w:val="00D26C23"/>
    <w:rsid w:val="00D26F20"/>
    <w:rsid w:val="00D2720F"/>
    <w:rsid w:val="00D273CF"/>
    <w:rsid w:val="00D2746B"/>
    <w:rsid w:val="00D275F4"/>
    <w:rsid w:val="00D27FDA"/>
    <w:rsid w:val="00D304C0"/>
    <w:rsid w:val="00D30D55"/>
    <w:rsid w:val="00D30E4D"/>
    <w:rsid w:val="00D30FC9"/>
    <w:rsid w:val="00D3161C"/>
    <w:rsid w:val="00D317C2"/>
    <w:rsid w:val="00D31AFE"/>
    <w:rsid w:val="00D31BBF"/>
    <w:rsid w:val="00D31D9F"/>
    <w:rsid w:val="00D32033"/>
    <w:rsid w:val="00D32082"/>
    <w:rsid w:val="00D322C4"/>
    <w:rsid w:val="00D322F4"/>
    <w:rsid w:val="00D3267C"/>
    <w:rsid w:val="00D329C4"/>
    <w:rsid w:val="00D32B0C"/>
    <w:rsid w:val="00D32D02"/>
    <w:rsid w:val="00D32D0F"/>
    <w:rsid w:val="00D32FB8"/>
    <w:rsid w:val="00D3316E"/>
    <w:rsid w:val="00D335EE"/>
    <w:rsid w:val="00D3371B"/>
    <w:rsid w:val="00D338BF"/>
    <w:rsid w:val="00D339B5"/>
    <w:rsid w:val="00D33F28"/>
    <w:rsid w:val="00D33F46"/>
    <w:rsid w:val="00D3424A"/>
    <w:rsid w:val="00D343F6"/>
    <w:rsid w:val="00D3469D"/>
    <w:rsid w:val="00D348E1"/>
    <w:rsid w:val="00D34B96"/>
    <w:rsid w:val="00D34C90"/>
    <w:rsid w:val="00D35786"/>
    <w:rsid w:val="00D359FC"/>
    <w:rsid w:val="00D35F3E"/>
    <w:rsid w:val="00D362CE"/>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556"/>
    <w:rsid w:val="00D41622"/>
    <w:rsid w:val="00D41823"/>
    <w:rsid w:val="00D418C6"/>
    <w:rsid w:val="00D4198B"/>
    <w:rsid w:val="00D41F7B"/>
    <w:rsid w:val="00D42131"/>
    <w:rsid w:val="00D423AB"/>
    <w:rsid w:val="00D42435"/>
    <w:rsid w:val="00D42974"/>
    <w:rsid w:val="00D42DA9"/>
    <w:rsid w:val="00D42E93"/>
    <w:rsid w:val="00D42F94"/>
    <w:rsid w:val="00D433E2"/>
    <w:rsid w:val="00D43713"/>
    <w:rsid w:val="00D43721"/>
    <w:rsid w:val="00D43893"/>
    <w:rsid w:val="00D439A4"/>
    <w:rsid w:val="00D43C8C"/>
    <w:rsid w:val="00D43C97"/>
    <w:rsid w:val="00D43D08"/>
    <w:rsid w:val="00D43EC7"/>
    <w:rsid w:val="00D4413E"/>
    <w:rsid w:val="00D441C5"/>
    <w:rsid w:val="00D44952"/>
    <w:rsid w:val="00D45294"/>
    <w:rsid w:val="00D452D7"/>
    <w:rsid w:val="00D45353"/>
    <w:rsid w:val="00D4538A"/>
    <w:rsid w:val="00D45703"/>
    <w:rsid w:val="00D45927"/>
    <w:rsid w:val="00D45A32"/>
    <w:rsid w:val="00D4620A"/>
    <w:rsid w:val="00D4644F"/>
    <w:rsid w:val="00D465BB"/>
    <w:rsid w:val="00D465BF"/>
    <w:rsid w:val="00D46C15"/>
    <w:rsid w:val="00D46D67"/>
    <w:rsid w:val="00D46F90"/>
    <w:rsid w:val="00D46FC8"/>
    <w:rsid w:val="00D47142"/>
    <w:rsid w:val="00D47B5E"/>
    <w:rsid w:val="00D47E2E"/>
    <w:rsid w:val="00D47FCF"/>
    <w:rsid w:val="00D500FB"/>
    <w:rsid w:val="00D5010A"/>
    <w:rsid w:val="00D504D2"/>
    <w:rsid w:val="00D507C5"/>
    <w:rsid w:val="00D50C23"/>
    <w:rsid w:val="00D5127B"/>
    <w:rsid w:val="00D51559"/>
    <w:rsid w:val="00D515A5"/>
    <w:rsid w:val="00D518D1"/>
    <w:rsid w:val="00D51DA3"/>
    <w:rsid w:val="00D52062"/>
    <w:rsid w:val="00D522AC"/>
    <w:rsid w:val="00D5234E"/>
    <w:rsid w:val="00D528E0"/>
    <w:rsid w:val="00D52A6F"/>
    <w:rsid w:val="00D52DEF"/>
    <w:rsid w:val="00D53A5F"/>
    <w:rsid w:val="00D53A63"/>
    <w:rsid w:val="00D543F9"/>
    <w:rsid w:val="00D5469E"/>
    <w:rsid w:val="00D546DD"/>
    <w:rsid w:val="00D54752"/>
    <w:rsid w:val="00D5482C"/>
    <w:rsid w:val="00D54952"/>
    <w:rsid w:val="00D5497C"/>
    <w:rsid w:val="00D54A35"/>
    <w:rsid w:val="00D55041"/>
    <w:rsid w:val="00D55157"/>
    <w:rsid w:val="00D55172"/>
    <w:rsid w:val="00D554E0"/>
    <w:rsid w:val="00D55721"/>
    <w:rsid w:val="00D55BF6"/>
    <w:rsid w:val="00D55C74"/>
    <w:rsid w:val="00D55F18"/>
    <w:rsid w:val="00D56017"/>
    <w:rsid w:val="00D562AD"/>
    <w:rsid w:val="00D56419"/>
    <w:rsid w:val="00D56827"/>
    <w:rsid w:val="00D56A6C"/>
    <w:rsid w:val="00D56E7B"/>
    <w:rsid w:val="00D572D9"/>
    <w:rsid w:val="00D575BA"/>
    <w:rsid w:val="00D575D0"/>
    <w:rsid w:val="00D578AB"/>
    <w:rsid w:val="00D578B3"/>
    <w:rsid w:val="00D57B4B"/>
    <w:rsid w:val="00D57DA4"/>
    <w:rsid w:val="00D60117"/>
    <w:rsid w:val="00D60638"/>
    <w:rsid w:val="00D6072B"/>
    <w:rsid w:val="00D607D7"/>
    <w:rsid w:val="00D60B68"/>
    <w:rsid w:val="00D61147"/>
    <w:rsid w:val="00D61366"/>
    <w:rsid w:val="00D613BD"/>
    <w:rsid w:val="00D6146A"/>
    <w:rsid w:val="00D618CE"/>
    <w:rsid w:val="00D6194F"/>
    <w:rsid w:val="00D61AA1"/>
    <w:rsid w:val="00D61CFF"/>
    <w:rsid w:val="00D61E64"/>
    <w:rsid w:val="00D624EF"/>
    <w:rsid w:val="00D6260E"/>
    <w:rsid w:val="00D626D4"/>
    <w:rsid w:val="00D62738"/>
    <w:rsid w:val="00D62BB1"/>
    <w:rsid w:val="00D62CA5"/>
    <w:rsid w:val="00D62DEC"/>
    <w:rsid w:val="00D62F75"/>
    <w:rsid w:val="00D63317"/>
    <w:rsid w:val="00D6360C"/>
    <w:rsid w:val="00D63626"/>
    <w:rsid w:val="00D636CA"/>
    <w:rsid w:val="00D6393F"/>
    <w:rsid w:val="00D63AAD"/>
    <w:rsid w:val="00D63B46"/>
    <w:rsid w:val="00D6458B"/>
    <w:rsid w:val="00D64714"/>
    <w:rsid w:val="00D64D7E"/>
    <w:rsid w:val="00D64EA9"/>
    <w:rsid w:val="00D64F98"/>
    <w:rsid w:val="00D65218"/>
    <w:rsid w:val="00D65374"/>
    <w:rsid w:val="00D65414"/>
    <w:rsid w:val="00D654AD"/>
    <w:rsid w:val="00D659D2"/>
    <w:rsid w:val="00D65B68"/>
    <w:rsid w:val="00D65E2A"/>
    <w:rsid w:val="00D66127"/>
    <w:rsid w:val="00D66839"/>
    <w:rsid w:val="00D66942"/>
    <w:rsid w:val="00D66B38"/>
    <w:rsid w:val="00D66BC4"/>
    <w:rsid w:val="00D66BF7"/>
    <w:rsid w:val="00D66DB4"/>
    <w:rsid w:val="00D66DC1"/>
    <w:rsid w:val="00D66E22"/>
    <w:rsid w:val="00D67393"/>
    <w:rsid w:val="00D67AA6"/>
    <w:rsid w:val="00D67DE5"/>
    <w:rsid w:val="00D67E08"/>
    <w:rsid w:val="00D7032C"/>
    <w:rsid w:val="00D7067B"/>
    <w:rsid w:val="00D7099E"/>
    <w:rsid w:val="00D70D4E"/>
    <w:rsid w:val="00D70E0E"/>
    <w:rsid w:val="00D710E3"/>
    <w:rsid w:val="00D712EC"/>
    <w:rsid w:val="00D7175C"/>
    <w:rsid w:val="00D71878"/>
    <w:rsid w:val="00D71D42"/>
    <w:rsid w:val="00D71EAD"/>
    <w:rsid w:val="00D727BC"/>
    <w:rsid w:val="00D72B2E"/>
    <w:rsid w:val="00D72BFC"/>
    <w:rsid w:val="00D72D30"/>
    <w:rsid w:val="00D72E7D"/>
    <w:rsid w:val="00D72FA4"/>
    <w:rsid w:val="00D730B4"/>
    <w:rsid w:val="00D73687"/>
    <w:rsid w:val="00D737C5"/>
    <w:rsid w:val="00D73B1E"/>
    <w:rsid w:val="00D73D04"/>
    <w:rsid w:val="00D74185"/>
    <w:rsid w:val="00D74705"/>
    <w:rsid w:val="00D74708"/>
    <w:rsid w:val="00D74A7D"/>
    <w:rsid w:val="00D74B6B"/>
    <w:rsid w:val="00D759DD"/>
    <w:rsid w:val="00D75AE4"/>
    <w:rsid w:val="00D75E92"/>
    <w:rsid w:val="00D760A8"/>
    <w:rsid w:val="00D76186"/>
    <w:rsid w:val="00D765E6"/>
    <w:rsid w:val="00D76643"/>
    <w:rsid w:val="00D766DA"/>
    <w:rsid w:val="00D7689D"/>
    <w:rsid w:val="00D76B8B"/>
    <w:rsid w:val="00D76CB8"/>
    <w:rsid w:val="00D76D7A"/>
    <w:rsid w:val="00D76EAE"/>
    <w:rsid w:val="00D7703E"/>
    <w:rsid w:val="00D7711E"/>
    <w:rsid w:val="00D77262"/>
    <w:rsid w:val="00D776DF"/>
    <w:rsid w:val="00D77A26"/>
    <w:rsid w:val="00D802DE"/>
    <w:rsid w:val="00D80A79"/>
    <w:rsid w:val="00D80C65"/>
    <w:rsid w:val="00D80EBC"/>
    <w:rsid w:val="00D81053"/>
    <w:rsid w:val="00D81446"/>
    <w:rsid w:val="00D81593"/>
    <w:rsid w:val="00D81619"/>
    <w:rsid w:val="00D8179E"/>
    <w:rsid w:val="00D818C6"/>
    <w:rsid w:val="00D81A0E"/>
    <w:rsid w:val="00D81BE8"/>
    <w:rsid w:val="00D81FAE"/>
    <w:rsid w:val="00D81FCC"/>
    <w:rsid w:val="00D82266"/>
    <w:rsid w:val="00D82B81"/>
    <w:rsid w:val="00D82C05"/>
    <w:rsid w:val="00D82D80"/>
    <w:rsid w:val="00D82E5D"/>
    <w:rsid w:val="00D83674"/>
    <w:rsid w:val="00D83D4F"/>
    <w:rsid w:val="00D8407B"/>
    <w:rsid w:val="00D843B2"/>
    <w:rsid w:val="00D843F7"/>
    <w:rsid w:val="00D846D1"/>
    <w:rsid w:val="00D8495E"/>
    <w:rsid w:val="00D84D2F"/>
    <w:rsid w:val="00D84E73"/>
    <w:rsid w:val="00D85170"/>
    <w:rsid w:val="00D85918"/>
    <w:rsid w:val="00D859BB"/>
    <w:rsid w:val="00D860DC"/>
    <w:rsid w:val="00D86123"/>
    <w:rsid w:val="00D86852"/>
    <w:rsid w:val="00D86A1E"/>
    <w:rsid w:val="00D86C93"/>
    <w:rsid w:val="00D87676"/>
    <w:rsid w:val="00D8795E"/>
    <w:rsid w:val="00D87C6B"/>
    <w:rsid w:val="00D87E77"/>
    <w:rsid w:val="00D90042"/>
    <w:rsid w:val="00D90469"/>
    <w:rsid w:val="00D9074A"/>
    <w:rsid w:val="00D9083D"/>
    <w:rsid w:val="00D9097D"/>
    <w:rsid w:val="00D90CE6"/>
    <w:rsid w:val="00D90D89"/>
    <w:rsid w:val="00D90D90"/>
    <w:rsid w:val="00D90DA2"/>
    <w:rsid w:val="00D9110A"/>
    <w:rsid w:val="00D911FE"/>
    <w:rsid w:val="00D91265"/>
    <w:rsid w:val="00D91B81"/>
    <w:rsid w:val="00D92025"/>
    <w:rsid w:val="00D92072"/>
    <w:rsid w:val="00D9260F"/>
    <w:rsid w:val="00D9265C"/>
    <w:rsid w:val="00D928B9"/>
    <w:rsid w:val="00D9294D"/>
    <w:rsid w:val="00D92C75"/>
    <w:rsid w:val="00D92D34"/>
    <w:rsid w:val="00D92E06"/>
    <w:rsid w:val="00D9308F"/>
    <w:rsid w:val="00D9363C"/>
    <w:rsid w:val="00D93946"/>
    <w:rsid w:val="00D939B4"/>
    <w:rsid w:val="00D93A51"/>
    <w:rsid w:val="00D93C45"/>
    <w:rsid w:val="00D93D19"/>
    <w:rsid w:val="00D9456A"/>
    <w:rsid w:val="00D94960"/>
    <w:rsid w:val="00D949C7"/>
    <w:rsid w:val="00D94A68"/>
    <w:rsid w:val="00D94E69"/>
    <w:rsid w:val="00D952B1"/>
    <w:rsid w:val="00D952E4"/>
    <w:rsid w:val="00D95361"/>
    <w:rsid w:val="00D9578F"/>
    <w:rsid w:val="00D9592C"/>
    <w:rsid w:val="00D95B22"/>
    <w:rsid w:val="00D95EFB"/>
    <w:rsid w:val="00D96637"/>
    <w:rsid w:val="00D9697C"/>
    <w:rsid w:val="00D96BD2"/>
    <w:rsid w:val="00D96D4E"/>
    <w:rsid w:val="00D970FF"/>
    <w:rsid w:val="00D97429"/>
    <w:rsid w:val="00D97D48"/>
    <w:rsid w:val="00D97E6C"/>
    <w:rsid w:val="00DA0296"/>
    <w:rsid w:val="00DA050B"/>
    <w:rsid w:val="00DA0C62"/>
    <w:rsid w:val="00DA0C63"/>
    <w:rsid w:val="00DA1219"/>
    <w:rsid w:val="00DA128C"/>
    <w:rsid w:val="00DA1886"/>
    <w:rsid w:val="00DA193E"/>
    <w:rsid w:val="00DA1A62"/>
    <w:rsid w:val="00DA1B38"/>
    <w:rsid w:val="00DA1C66"/>
    <w:rsid w:val="00DA1FEE"/>
    <w:rsid w:val="00DA2165"/>
    <w:rsid w:val="00DA2359"/>
    <w:rsid w:val="00DA2582"/>
    <w:rsid w:val="00DA2AFE"/>
    <w:rsid w:val="00DA2B76"/>
    <w:rsid w:val="00DA2CF4"/>
    <w:rsid w:val="00DA3246"/>
    <w:rsid w:val="00DA32E6"/>
    <w:rsid w:val="00DA32F7"/>
    <w:rsid w:val="00DA37D6"/>
    <w:rsid w:val="00DA3804"/>
    <w:rsid w:val="00DA3909"/>
    <w:rsid w:val="00DA39D3"/>
    <w:rsid w:val="00DA3A58"/>
    <w:rsid w:val="00DA3E1F"/>
    <w:rsid w:val="00DA3E77"/>
    <w:rsid w:val="00DA4063"/>
    <w:rsid w:val="00DA491E"/>
    <w:rsid w:val="00DA51BD"/>
    <w:rsid w:val="00DA523C"/>
    <w:rsid w:val="00DA5361"/>
    <w:rsid w:val="00DA5752"/>
    <w:rsid w:val="00DA5800"/>
    <w:rsid w:val="00DA5867"/>
    <w:rsid w:val="00DA5A2E"/>
    <w:rsid w:val="00DA5A8D"/>
    <w:rsid w:val="00DA5F72"/>
    <w:rsid w:val="00DA6613"/>
    <w:rsid w:val="00DA67D9"/>
    <w:rsid w:val="00DA68CA"/>
    <w:rsid w:val="00DA6990"/>
    <w:rsid w:val="00DA6D4D"/>
    <w:rsid w:val="00DA6E41"/>
    <w:rsid w:val="00DA700C"/>
    <w:rsid w:val="00DA7113"/>
    <w:rsid w:val="00DA7730"/>
    <w:rsid w:val="00DA7942"/>
    <w:rsid w:val="00DA7A36"/>
    <w:rsid w:val="00DA7B9F"/>
    <w:rsid w:val="00DB0254"/>
    <w:rsid w:val="00DB0336"/>
    <w:rsid w:val="00DB05C2"/>
    <w:rsid w:val="00DB0611"/>
    <w:rsid w:val="00DB06F3"/>
    <w:rsid w:val="00DB079C"/>
    <w:rsid w:val="00DB0A99"/>
    <w:rsid w:val="00DB0D8A"/>
    <w:rsid w:val="00DB1E25"/>
    <w:rsid w:val="00DB1E5E"/>
    <w:rsid w:val="00DB2138"/>
    <w:rsid w:val="00DB227D"/>
    <w:rsid w:val="00DB2304"/>
    <w:rsid w:val="00DB244D"/>
    <w:rsid w:val="00DB2503"/>
    <w:rsid w:val="00DB252F"/>
    <w:rsid w:val="00DB2997"/>
    <w:rsid w:val="00DB2A6B"/>
    <w:rsid w:val="00DB2D39"/>
    <w:rsid w:val="00DB2D4F"/>
    <w:rsid w:val="00DB2E46"/>
    <w:rsid w:val="00DB2EAA"/>
    <w:rsid w:val="00DB2EDA"/>
    <w:rsid w:val="00DB3440"/>
    <w:rsid w:val="00DB36A9"/>
    <w:rsid w:val="00DB3BFE"/>
    <w:rsid w:val="00DB3E48"/>
    <w:rsid w:val="00DB41E5"/>
    <w:rsid w:val="00DB472B"/>
    <w:rsid w:val="00DB4E41"/>
    <w:rsid w:val="00DB513F"/>
    <w:rsid w:val="00DB518D"/>
    <w:rsid w:val="00DB5388"/>
    <w:rsid w:val="00DB54F3"/>
    <w:rsid w:val="00DB5501"/>
    <w:rsid w:val="00DB5872"/>
    <w:rsid w:val="00DB592A"/>
    <w:rsid w:val="00DB5BC4"/>
    <w:rsid w:val="00DB5D5A"/>
    <w:rsid w:val="00DB5EA4"/>
    <w:rsid w:val="00DB6056"/>
    <w:rsid w:val="00DB6081"/>
    <w:rsid w:val="00DB6622"/>
    <w:rsid w:val="00DB6671"/>
    <w:rsid w:val="00DB6726"/>
    <w:rsid w:val="00DB69AD"/>
    <w:rsid w:val="00DB6A05"/>
    <w:rsid w:val="00DB6B92"/>
    <w:rsid w:val="00DB6D92"/>
    <w:rsid w:val="00DB6E9E"/>
    <w:rsid w:val="00DB6F0C"/>
    <w:rsid w:val="00DB6F0D"/>
    <w:rsid w:val="00DB73A4"/>
    <w:rsid w:val="00DB7505"/>
    <w:rsid w:val="00DB7520"/>
    <w:rsid w:val="00DB762B"/>
    <w:rsid w:val="00DB76F8"/>
    <w:rsid w:val="00DB79FB"/>
    <w:rsid w:val="00DB7B20"/>
    <w:rsid w:val="00DB7B53"/>
    <w:rsid w:val="00DB7D94"/>
    <w:rsid w:val="00DB7DDF"/>
    <w:rsid w:val="00DB7E64"/>
    <w:rsid w:val="00DC00C2"/>
    <w:rsid w:val="00DC0462"/>
    <w:rsid w:val="00DC05B3"/>
    <w:rsid w:val="00DC0A8A"/>
    <w:rsid w:val="00DC0B1E"/>
    <w:rsid w:val="00DC0CBC"/>
    <w:rsid w:val="00DC0CE3"/>
    <w:rsid w:val="00DC0DF5"/>
    <w:rsid w:val="00DC126B"/>
    <w:rsid w:val="00DC1416"/>
    <w:rsid w:val="00DC154C"/>
    <w:rsid w:val="00DC1766"/>
    <w:rsid w:val="00DC1A2A"/>
    <w:rsid w:val="00DC1E70"/>
    <w:rsid w:val="00DC2045"/>
    <w:rsid w:val="00DC212B"/>
    <w:rsid w:val="00DC21C8"/>
    <w:rsid w:val="00DC2252"/>
    <w:rsid w:val="00DC2559"/>
    <w:rsid w:val="00DC32FA"/>
    <w:rsid w:val="00DC340D"/>
    <w:rsid w:val="00DC3730"/>
    <w:rsid w:val="00DC37CA"/>
    <w:rsid w:val="00DC3850"/>
    <w:rsid w:val="00DC3A11"/>
    <w:rsid w:val="00DC3C37"/>
    <w:rsid w:val="00DC3C8B"/>
    <w:rsid w:val="00DC3E21"/>
    <w:rsid w:val="00DC402F"/>
    <w:rsid w:val="00DC422A"/>
    <w:rsid w:val="00DC427A"/>
    <w:rsid w:val="00DC46EC"/>
    <w:rsid w:val="00DC47E3"/>
    <w:rsid w:val="00DC4936"/>
    <w:rsid w:val="00DC4ADC"/>
    <w:rsid w:val="00DC4B55"/>
    <w:rsid w:val="00DC4C98"/>
    <w:rsid w:val="00DC4D9E"/>
    <w:rsid w:val="00DC4EB3"/>
    <w:rsid w:val="00DC5603"/>
    <w:rsid w:val="00DC57BD"/>
    <w:rsid w:val="00DC6536"/>
    <w:rsid w:val="00DC6577"/>
    <w:rsid w:val="00DC67AC"/>
    <w:rsid w:val="00DC6B09"/>
    <w:rsid w:val="00DC6D5F"/>
    <w:rsid w:val="00DC6DCE"/>
    <w:rsid w:val="00DC6F9A"/>
    <w:rsid w:val="00DC73B8"/>
    <w:rsid w:val="00DC7492"/>
    <w:rsid w:val="00DC7503"/>
    <w:rsid w:val="00DC7A2D"/>
    <w:rsid w:val="00DC7B6E"/>
    <w:rsid w:val="00DC7EE8"/>
    <w:rsid w:val="00DD0098"/>
    <w:rsid w:val="00DD01F8"/>
    <w:rsid w:val="00DD02C2"/>
    <w:rsid w:val="00DD0451"/>
    <w:rsid w:val="00DD053C"/>
    <w:rsid w:val="00DD05F5"/>
    <w:rsid w:val="00DD097B"/>
    <w:rsid w:val="00DD0B00"/>
    <w:rsid w:val="00DD0C7C"/>
    <w:rsid w:val="00DD0F84"/>
    <w:rsid w:val="00DD0FA6"/>
    <w:rsid w:val="00DD1781"/>
    <w:rsid w:val="00DD1A12"/>
    <w:rsid w:val="00DD1EC8"/>
    <w:rsid w:val="00DD1ED2"/>
    <w:rsid w:val="00DD214E"/>
    <w:rsid w:val="00DD21EF"/>
    <w:rsid w:val="00DD2257"/>
    <w:rsid w:val="00DD2A10"/>
    <w:rsid w:val="00DD2BE6"/>
    <w:rsid w:val="00DD2CA3"/>
    <w:rsid w:val="00DD2E5A"/>
    <w:rsid w:val="00DD350D"/>
    <w:rsid w:val="00DD360F"/>
    <w:rsid w:val="00DD3B19"/>
    <w:rsid w:val="00DD3CD5"/>
    <w:rsid w:val="00DD3DFE"/>
    <w:rsid w:val="00DD3E5D"/>
    <w:rsid w:val="00DD3EAF"/>
    <w:rsid w:val="00DD417C"/>
    <w:rsid w:val="00DD4216"/>
    <w:rsid w:val="00DD4977"/>
    <w:rsid w:val="00DD4F33"/>
    <w:rsid w:val="00DD4F6E"/>
    <w:rsid w:val="00DD50DD"/>
    <w:rsid w:val="00DD537C"/>
    <w:rsid w:val="00DD5AE1"/>
    <w:rsid w:val="00DD5F2A"/>
    <w:rsid w:val="00DD618C"/>
    <w:rsid w:val="00DD66A3"/>
    <w:rsid w:val="00DD697F"/>
    <w:rsid w:val="00DD6AF5"/>
    <w:rsid w:val="00DD6BA9"/>
    <w:rsid w:val="00DD6E29"/>
    <w:rsid w:val="00DD6E30"/>
    <w:rsid w:val="00DD7046"/>
    <w:rsid w:val="00DD735C"/>
    <w:rsid w:val="00DD746C"/>
    <w:rsid w:val="00DE00CE"/>
    <w:rsid w:val="00DE020A"/>
    <w:rsid w:val="00DE086D"/>
    <w:rsid w:val="00DE0972"/>
    <w:rsid w:val="00DE10EE"/>
    <w:rsid w:val="00DE1141"/>
    <w:rsid w:val="00DE141F"/>
    <w:rsid w:val="00DE151B"/>
    <w:rsid w:val="00DE19AE"/>
    <w:rsid w:val="00DE1F2B"/>
    <w:rsid w:val="00DE248B"/>
    <w:rsid w:val="00DE274C"/>
    <w:rsid w:val="00DE287D"/>
    <w:rsid w:val="00DE2A8B"/>
    <w:rsid w:val="00DE2B12"/>
    <w:rsid w:val="00DE2C6D"/>
    <w:rsid w:val="00DE2CE3"/>
    <w:rsid w:val="00DE2D36"/>
    <w:rsid w:val="00DE322A"/>
    <w:rsid w:val="00DE330D"/>
    <w:rsid w:val="00DE345C"/>
    <w:rsid w:val="00DE34F0"/>
    <w:rsid w:val="00DE35AA"/>
    <w:rsid w:val="00DE36ED"/>
    <w:rsid w:val="00DE3D1D"/>
    <w:rsid w:val="00DE3FB2"/>
    <w:rsid w:val="00DE4090"/>
    <w:rsid w:val="00DE4211"/>
    <w:rsid w:val="00DE43C4"/>
    <w:rsid w:val="00DE4622"/>
    <w:rsid w:val="00DE46FB"/>
    <w:rsid w:val="00DE4841"/>
    <w:rsid w:val="00DE4A17"/>
    <w:rsid w:val="00DE4A80"/>
    <w:rsid w:val="00DE4E58"/>
    <w:rsid w:val="00DE4EE3"/>
    <w:rsid w:val="00DE5003"/>
    <w:rsid w:val="00DE50C5"/>
    <w:rsid w:val="00DE52CD"/>
    <w:rsid w:val="00DE533A"/>
    <w:rsid w:val="00DE57E6"/>
    <w:rsid w:val="00DE5860"/>
    <w:rsid w:val="00DE5F61"/>
    <w:rsid w:val="00DE602D"/>
    <w:rsid w:val="00DE60A2"/>
    <w:rsid w:val="00DE67AF"/>
    <w:rsid w:val="00DE68FB"/>
    <w:rsid w:val="00DE694C"/>
    <w:rsid w:val="00DE6E67"/>
    <w:rsid w:val="00DE7110"/>
    <w:rsid w:val="00DE711A"/>
    <w:rsid w:val="00DE7154"/>
    <w:rsid w:val="00DE73F5"/>
    <w:rsid w:val="00DE754C"/>
    <w:rsid w:val="00DE7727"/>
    <w:rsid w:val="00DE775F"/>
    <w:rsid w:val="00DE77E5"/>
    <w:rsid w:val="00DE78BE"/>
    <w:rsid w:val="00DE7C18"/>
    <w:rsid w:val="00DE7CC9"/>
    <w:rsid w:val="00DE7D8F"/>
    <w:rsid w:val="00DF00AB"/>
    <w:rsid w:val="00DF02FD"/>
    <w:rsid w:val="00DF0375"/>
    <w:rsid w:val="00DF041D"/>
    <w:rsid w:val="00DF06D6"/>
    <w:rsid w:val="00DF094A"/>
    <w:rsid w:val="00DF0D1E"/>
    <w:rsid w:val="00DF0EC3"/>
    <w:rsid w:val="00DF12E2"/>
    <w:rsid w:val="00DF130D"/>
    <w:rsid w:val="00DF1383"/>
    <w:rsid w:val="00DF13B3"/>
    <w:rsid w:val="00DF1713"/>
    <w:rsid w:val="00DF17A3"/>
    <w:rsid w:val="00DF186C"/>
    <w:rsid w:val="00DF1A2C"/>
    <w:rsid w:val="00DF1CF0"/>
    <w:rsid w:val="00DF1F37"/>
    <w:rsid w:val="00DF1FF0"/>
    <w:rsid w:val="00DF2019"/>
    <w:rsid w:val="00DF20D8"/>
    <w:rsid w:val="00DF2A1A"/>
    <w:rsid w:val="00DF2A58"/>
    <w:rsid w:val="00DF31E0"/>
    <w:rsid w:val="00DF34FC"/>
    <w:rsid w:val="00DF3684"/>
    <w:rsid w:val="00DF3791"/>
    <w:rsid w:val="00DF397B"/>
    <w:rsid w:val="00DF3C23"/>
    <w:rsid w:val="00DF3E2C"/>
    <w:rsid w:val="00DF3EF4"/>
    <w:rsid w:val="00DF41ED"/>
    <w:rsid w:val="00DF4239"/>
    <w:rsid w:val="00DF426B"/>
    <w:rsid w:val="00DF42C7"/>
    <w:rsid w:val="00DF4C03"/>
    <w:rsid w:val="00DF4E96"/>
    <w:rsid w:val="00DF51B5"/>
    <w:rsid w:val="00DF51B8"/>
    <w:rsid w:val="00DF51ED"/>
    <w:rsid w:val="00DF55FE"/>
    <w:rsid w:val="00DF58B7"/>
    <w:rsid w:val="00DF5916"/>
    <w:rsid w:val="00DF5A47"/>
    <w:rsid w:val="00DF5EA4"/>
    <w:rsid w:val="00DF6081"/>
    <w:rsid w:val="00DF62A2"/>
    <w:rsid w:val="00DF6A4C"/>
    <w:rsid w:val="00DF6B26"/>
    <w:rsid w:val="00DF6EC1"/>
    <w:rsid w:val="00DF6EDA"/>
    <w:rsid w:val="00DF740C"/>
    <w:rsid w:val="00DF7568"/>
    <w:rsid w:val="00DF7607"/>
    <w:rsid w:val="00DF7B90"/>
    <w:rsid w:val="00DF7CD1"/>
    <w:rsid w:val="00DF7E40"/>
    <w:rsid w:val="00DF7F1E"/>
    <w:rsid w:val="00DF7F64"/>
    <w:rsid w:val="00E00634"/>
    <w:rsid w:val="00E0095F"/>
    <w:rsid w:val="00E009EF"/>
    <w:rsid w:val="00E00A86"/>
    <w:rsid w:val="00E00B32"/>
    <w:rsid w:val="00E00BB4"/>
    <w:rsid w:val="00E00DD2"/>
    <w:rsid w:val="00E010DD"/>
    <w:rsid w:val="00E01166"/>
    <w:rsid w:val="00E012AC"/>
    <w:rsid w:val="00E0144E"/>
    <w:rsid w:val="00E0186F"/>
    <w:rsid w:val="00E01A03"/>
    <w:rsid w:val="00E01C95"/>
    <w:rsid w:val="00E01DAA"/>
    <w:rsid w:val="00E01E06"/>
    <w:rsid w:val="00E01EB9"/>
    <w:rsid w:val="00E021ED"/>
    <w:rsid w:val="00E02432"/>
    <w:rsid w:val="00E028EE"/>
    <w:rsid w:val="00E02974"/>
    <w:rsid w:val="00E029AB"/>
    <w:rsid w:val="00E02C80"/>
    <w:rsid w:val="00E02D74"/>
    <w:rsid w:val="00E0326F"/>
    <w:rsid w:val="00E03320"/>
    <w:rsid w:val="00E03530"/>
    <w:rsid w:val="00E03710"/>
    <w:rsid w:val="00E0384D"/>
    <w:rsid w:val="00E03A59"/>
    <w:rsid w:val="00E03A6C"/>
    <w:rsid w:val="00E03EB1"/>
    <w:rsid w:val="00E03F77"/>
    <w:rsid w:val="00E040D0"/>
    <w:rsid w:val="00E0413D"/>
    <w:rsid w:val="00E044ED"/>
    <w:rsid w:val="00E04B64"/>
    <w:rsid w:val="00E04F51"/>
    <w:rsid w:val="00E05023"/>
    <w:rsid w:val="00E051EE"/>
    <w:rsid w:val="00E05261"/>
    <w:rsid w:val="00E056FD"/>
    <w:rsid w:val="00E05716"/>
    <w:rsid w:val="00E05A9C"/>
    <w:rsid w:val="00E0603E"/>
    <w:rsid w:val="00E06589"/>
    <w:rsid w:val="00E06B71"/>
    <w:rsid w:val="00E06BEF"/>
    <w:rsid w:val="00E06C52"/>
    <w:rsid w:val="00E07BA2"/>
    <w:rsid w:val="00E10018"/>
    <w:rsid w:val="00E10775"/>
    <w:rsid w:val="00E10789"/>
    <w:rsid w:val="00E109D4"/>
    <w:rsid w:val="00E10D82"/>
    <w:rsid w:val="00E10E74"/>
    <w:rsid w:val="00E10F6B"/>
    <w:rsid w:val="00E10FD6"/>
    <w:rsid w:val="00E11425"/>
    <w:rsid w:val="00E1181D"/>
    <w:rsid w:val="00E118D7"/>
    <w:rsid w:val="00E119DC"/>
    <w:rsid w:val="00E11FC2"/>
    <w:rsid w:val="00E1206A"/>
    <w:rsid w:val="00E1208B"/>
    <w:rsid w:val="00E12E43"/>
    <w:rsid w:val="00E12EF5"/>
    <w:rsid w:val="00E12F06"/>
    <w:rsid w:val="00E1347E"/>
    <w:rsid w:val="00E139CA"/>
    <w:rsid w:val="00E13CE2"/>
    <w:rsid w:val="00E13F03"/>
    <w:rsid w:val="00E14123"/>
    <w:rsid w:val="00E1419E"/>
    <w:rsid w:val="00E14375"/>
    <w:rsid w:val="00E143A3"/>
    <w:rsid w:val="00E144D0"/>
    <w:rsid w:val="00E149CF"/>
    <w:rsid w:val="00E149FF"/>
    <w:rsid w:val="00E15752"/>
    <w:rsid w:val="00E15813"/>
    <w:rsid w:val="00E1589C"/>
    <w:rsid w:val="00E1598C"/>
    <w:rsid w:val="00E159B2"/>
    <w:rsid w:val="00E15B64"/>
    <w:rsid w:val="00E15C46"/>
    <w:rsid w:val="00E15CC3"/>
    <w:rsid w:val="00E15CDB"/>
    <w:rsid w:val="00E16000"/>
    <w:rsid w:val="00E16481"/>
    <w:rsid w:val="00E16792"/>
    <w:rsid w:val="00E16B01"/>
    <w:rsid w:val="00E16BCC"/>
    <w:rsid w:val="00E16EF2"/>
    <w:rsid w:val="00E16F1D"/>
    <w:rsid w:val="00E1759E"/>
    <w:rsid w:val="00E17620"/>
    <w:rsid w:val="00E17BF4"/>
    <w:rsid w:val="00E17D15"/>
    <w:rsid w:val="00E17E45"/>
    <w:rsid w:val="00E201E9"/>
    <w:rsid w:val="00E20555"/>
    <w:rsid w:val="00E20793"/>
    <w:rsid w:val="00E2093C"/>
    <w:rsid w:val="00E21102"/>
    <w:rsid w:val="00E21203"/>
    <w:rsid w:val="00E218F9"/>
    <w:rsid w:val="00E21DEF"/>
    <w:rsid w:val="00E225AD"/>
    <w:rsid w:val="00E225E7"/>
    <w:rsid w:val="00E22629"/>
    <w:rsid w:val="00E22787"/>
    <w:rsid w:val="00E22C0D"/>
    <w:rsid w:val="00E232BC"/>
    <w:rsid w:val="00E234D2"/>
    <w:rsid w:val="00E23571"/>
    <w:rsid w:val="00E235C2"/>
    <w:rsid w:val="00E236FD"/>
    <w:rsid w:val="00E23F21"/>
    <w:rsid w:val="00E24340"/>
    <w:rsid w:val="00E24B99"/>
    <w:rsid w:val="00E24BF6"/>
    <w:rsid w:val="00E24DBB"/>
    <w:rsid w:val="00E24DF6"/>
    <w:rsid w:val="00E25793"/>
    <w:rsid w:val="00E25D45"/>
    <w:rsid w:val="00E264AB"/>
    <w:rsid w:val="00E2656C"/>
    <w:rsid w:val="00E265FF"/>
    <w:rsid w:val="00E267FB"/>
    <w:rsid w:val="00E26AB2"/>
    <w:rsid w:val="00E26ECE"/>
    <w:rsid w:val="00E2710C"/>
    <w:rsid w:val="00E271DA"/>
    <w:rsid w:val="00E27729"/>
    <w:rsid w:val="00E2776A"/>
    <w:rsid w:val="00E27DDB"/>
    <w:rsid w:val="00E27FC9"/>
    <w:rsid w:val="00E30227"/>
    <w:rsid w:val="00E303F3"/>
    <w:rsid w:val="00E304F7"/>
    <w:rsid w:val="00E3093D"/>
    <w:rsid w:val="00E3097C"/>
    <w:rsid w:val="00E30D80"/>
    <w:rsid w:val="00E30DBD"/>
    <w:rsid w:val="00E30DFA"/>
    <w:rsid w:val="00E30F82"/>
    <w:rsid w:val="00E30FB1"/>
    <w:rsid w:val="00E31065"/>
    <w:rsid w:val="00E3131F"/>
    <w:rsid w:val="00E318C9"/>
    <w:rsid w:val="00E319C5"/>
    <w:rsid w:val="00E31A98"/>
    <w:rsid w:val="00E31B55"/>
    <w:rsid w:val="00E320D3"/>
    <w:rsid w:val="00E320D4"/>
    <w:rsid w:val="00E323CC"/>
    <w:rsid w:val="00E324CC"/>
    <w:rsid w:val="00E329E2"/>
    <w:rsid w:val="00E32C2C"/>
    <w:rsid w:val="00E32D31"/>
    <w:rsid w:val="00E33170"/>
    <w:rsid w:val="00E333AE"/>
    <w:rsid w:val="00E33D3B"/>
    <w:rsid w:val="00E33EE7"/>
    <w:rsid w:val="00E34388"/>
    <w:rsid w:val="00E34407"/>
    <w:rsid w:val="00E3467F"/>
    <w:rsid w:val="00E348F3"/>
    <w:rsid w:val="00E34957"/>
    <w:rsid w:val="00E34F02"/>
    <w:rsid w:val="00E355A4"/>
    <w:rsid w:val="00E35A0C"/>
    <w:rsid w:val="00E35C5A"/>
    <w:rsid w:val="00E36230"/>
    <w:rsid w:val="00E363FD"/>
    <w:rsid w:val="00E36760"/>
    <w:rsid w:val="00E368AF"/>
    <w:rsid w:val="00E36B93"/>
    <w:rsid w:val="00E36F0D"/>
    <w:rsid w:val="00E36F12"/>
    <w:rsid w:val="00E37099"/>
    <w:rsid w:val="00E37113"/>
    <w:rsid w:val="00E37269"/>
    <w:rsid w:val="00E374C3"/>
    <w:rsid w:val="00E37633"/>
    <w:rsid w:val="00E37D4B"/>
    <w:rsid w:val="00E37D71"/>
    <w:rsid w:val="00E37E67"/>
    <w:rsid w:val="00E37F90"/>
    <w:rsid w:val="00E40473"/>
    <w:rsid w:val="00E40633"/>
    <w:rsid w:val="00E40679"/>
    <w:rsid w:val="00E40AC6"/>
    <w:rsid w:val="00E40AE3"/>
    <w:rsid w:val="00E40BFF"/>
    <w:rsid w:val="00E40C23"/>
    <w:rsid w:val="00E40E61"/>
    <w:rsid w:val="00E413B8"/>
    <w:rsid w:val="00E4141A"/>
    <w:rsid w:val="00E4162F"/>
    <w:rsid w:val="00E4173C"/>
    <w:rsid w:val="00E4177F"/>
    <w:rsid w:val="00E417B8"/>
    <w:rsid w:val="00E418A2"/>
    <w:rsid w:val="00E41CD1"/>
    <w:rsid w:val="00E41E66"/>
    <w:rsid w:val="00E42498"/>
    <w:rsid w:val="00E429EE"/>
    <w:rsid w:val="00E42A6A"/>
    <w:rsid w:val="00E42AC9"/>
    <w:rsid w:val="00E42DC7"/>
    <w:rsid w:val="00E43058"/>
    <w:rsid w:val="00E4308D"/>
    <w:rsid w:val="00E4310B"/>
    <w:rsid w:val="00E433CF"/>
    <w:rsid w:val="00E43456"/>
    <w:rsid w:val="00E43591"/>
    <w:rsid w:val="00E43899"/>
    <w:rsid w:val="00E43924"/>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8A6"/>
    <w:rsid w:val="00E45B70"/>
    <w:rsid w:val="00E45BB2"/>
    <w:rsid w:val="00E45D61"/>
    <w:rsid w:val="00E4601D"/>
    <w:rsid w:val="00E463D4"/>
    <w:rsid w:val="00E46803"/>
    <w:rsid w:val="00E46935"/>
    <w:rsid w:val="00E46A1B"/>
    <w:rsid w:val="00E46AE9"/>
    <w:rsid w:val="00E46D4F"/>
    <w:rsid w:val="00E46F66"/>
    <w:rsid w:val="00E46FED"/>
    <w:rsid w:val="00E472B6"/>
    <w:rsid w:val="00E47453"/>
    <w:rsid w:val="00E47690"/>
    <w:rsid w:val="00E47822"/>
    <w:rsid w:val="00E479B8"/>
    <w:rsid w:val="00E479EA"/>
    <w:rsid w:val="00E47AC4"/>
    <w:rsid w:val="00E47E26"/>
    <w:rsid w:val="00E47FE0"/>
    <w:rsid w:val="00E509D2"/>
    <w:rsid w:val="00E50E14"/>
    <w:rsid w:val="00E50F9F"/>
    <w:rsid w:val="00E511DC"/>
    <w:rsid w:val="00E51340"/>
    <w:rsid w:val="00E513E4"/>
    <w:rsid w:val="00E514BB"/>
    <w:rsid w:val="00E51E6F"/>
    <w:rsid w:val="00E51F16"/>
    <w:rsid w:val="00E52008"/>
    <w:rsid w:val="00E52089"/>
    <w:rsid w:val="00E52205"/>
    <w:rsid w:val="00E52286"/>
    <w:rsid w:val="00E522AA"/>
    <w:rsid w:val="00E52419"/>
    <w:rsid w:val="00E52797"/>
    <w:rsid w:val="00E52A3B"/>
    <w:rsid w:val="00E52AAD"/>
    <w:rsid w:val="00E52EC3"/>
    <w:rsid w:val="00E52F56"/>
    <w:rsid w:val="00E5317A"/>
    <w:rsid w:val="00E53664"/>
    <w:rsid w:val="00E53832"/>
    <w:rsid w:val="00E53871"/>
    <w:rsid w:val="00E53955"/>
    <w:rsid w:val="00E53A94"/>
    <w:rsid w:val="00E54276"/>
    <w:rsid w:val="00E545CE"/>
    <w:rsid w:val="00E5476F"/>
    <w:rsid w:val="00E54A60"/>
    <w:rsid w:val="00E54B20"/>
    <w:rsid w:val="00E54C14"/>
    <w:rsid w:val="00E54CA4"/>
    <w:rsid w:val="00E54D81"/>
    <w:rsid w:val="00E54D92"/>
    <w:rsid w:val="00E55415"/>
    <w:rsid w:val="00E55557"/>
    <w:rsid w:val="00E5579B"/>
    <w:rsid w:val="00E558B0"/>
    <w:rsid w:val="00E5613C"/>
    <w:rsid w:val="00E56267"/>
    <w:rsid w:val="00E56474"/>
    <w:rsid w:val="00E56735"/>
    <w:rsid w:val="00E56BB8"/>
    <w:rsid w:val="00E574B5"/>
    <w:rsid w:val="00E57526"/>
    <w:rsid w:val="00E57599"/>
    <w:rsid w:val="00E576B2"/>
    <w:rsid w:val="00E577CC"/>
    <w:rsid w:val="00E57AA3"/>
    <w:rsid w:val="00E57B1B"/>
    <w:rsid w:val="00E57D3A"/>
    <w:rsid w:val="00E601B7"/>
    <w:rsid w:val="00E60432"/>
    <w:rsid w:val="00E60632"/>
    <w:rsid w:val="00E60867"/>
    <w:rsid w:val="00E608BF"/>
    <w:rsid w:val="00E611DE"/>
    <w:rsid w:val="00E61597"/>
    <w:rsid w:val="00E61734"/>
    <w:rsid w:val="00E61B55"/>
    <w:rsid w:val="00E61DB8"/>
    <w:rsid w:val="00E61E02"/>
    <w:rsid w:val="00E61E1A"/>
    <w:rsid w:val="00E61E6A"/>
    <w:rsid w:val="00E62372"/>
    <w:rsid w:val="00E627E6"/>
    <w:rsid w:val="00E6284C"/>
    <w:rsid w:val="00E628B7"/>
    <w:rsid w:val="00E62A51"/>
    <w:rsid w:val="00E62AF9"/>
    <w:rsid w:val="00E62D42"/>
    <w:rsid w:val="00E6303B"/>
    <w:rsid w:val="00E63657"/>
    <w:rsid w:val="00E637A1"/>
    <w:rsid w:val="00E63913"/>
    <w:rsid w:val="00E6403C"/>
    <w:rsid w:val="00E6405C"/>
    <w:rsid w:val="00E64343"/>
    <w:rsid w:val="00E643A6"/>
    <w:rsid w:val="00E647AF"/>
    <w:rsid w:val="00E64B24"/>
    <w:rsid w:val="00E64C66"/>
    <w:rsid w:val="00E655FF"/>
    <w:rsid w:val="00E65CF1"/>
    <w:rsid w:val="00E65E14"/>
    <w:rsid w:val="00E65E3B"/>
    <w:rsid w:val="00E66333"/>
    <w:rsid w:val="00E667F8"/>
    <w:rsid w:val="00E66AA1"/>
    <w:rsid w:val="00E66D70"/>
    <w:rsid w:val="00E66FEF"/>
    <w:rsid w:val="00E6713C"/>
    <w:rsid w:val="00E673C4"/>
    <w:rsid w:val="00E67753"/>
    <w:rsid w:val="00E678CC"/>
    <w:rsid w:val="00E67BC4"/>
    <w:rsid w:val="00E67C49"/>
    <w:rsid w:val="00E67D48"/>
    <w:rsid w:val="00E70038"/>
    <w:rsid w:val="00E705CD"/>
    <w:rsid w:val="00E70B9E"/>
    <w:rsid w:val="00E70CC4"/>
    <w:rsid w:val="00E711C6"/>
    <w:rsid w:val="00E71802"/>
    <w:rsid w:val="00E718C0"/>
    <w:rsid w:val="00E71A0B"/>
    <w:rsid w:val="00E71C79"/>
    <w:rsid w:val="00E71D4E"/>
    <w:rsid w:val="00E71F8E"/>
    <w:rsid w:val="00E720BD"/>
    <w:rsid w:val="00E722CA"/>
    <w:rsid w:val="00E725F7"/>
    <w:rsid w:val="00E72902"/>
    <w:rsid w:val="00E72B79"/>
    <w:rsid w:val="00E72CF6"/>
    <w:rsid w:val="00E7382B"/>
    <w:rsid w:val="00E738FB"/>
    <w:rsid w:val="00E73AA2"/>
    <w:rsid w:val="00E73AF2"/>
    <w:rsid w:val="00E742C8"/>
    <w:rsid w:val="00E74864"/>
    <w:rsid w:val="00E74C58"/>
    <w:rsid w:val="00E750EF"/>
    <w:rsid w:val="00E7549A"/>
    <w:rsid w:val="00E7553B"/>
    <w:rsid w:val="00E757CC"/>
    <w:rsid w:val="00E75864"/>
    <w:rsid w:val="00E7625D"/>
    <w:rsid w:val="00E7641A"/>
    <w:rsid w:val="00E76594"/>
    <w:rsid w:val="00E76737"/>
    <w:rsid w:val="00E77213"/>
    <w:rsid w:val="00E77401"/>
    <w:rsid w:val="00E77567"/>
    <w:rsid w:val="00E7773E"/>
    <w:rsid w:val="00E77763"/>
    <w:rsid w:val="00E77C08"/>
    <w:rsid w:val="00E77C45"/>
    <w:rsid w:val="00E77CD3"/>
    <w:rsid w:val="00E77D39"/>
    <w:rsid w:val="00E77D42"/>
    <w:rsid w:val="00E77DFE"/>
    <w:rsid w:val="00E77E3A"/>
    <w:rsid w:val="00E77EB2"/>
    <w:rsid w:val="00E80528"/>
    <w:rsid w:val="00E80755"/>
    <w:rsid w:val="00E8085D"/>
    <w:rsid w:val="00E80E5E"/>
    <w:rsid w:val="00E80FB6"/>
    <w:rsid w:val="00E81400"/>
    <w:rsid w:val="00E817BA"/>
    <w:rsid w:val="00E81847"/>
    <w:rsid w:val="00E8189E"/>
    <w:rsid w:val="00E81C86"/>
    <w:rsid w:val="00E81F2E"/>
    <w:rsid w:val="00E82653"/>
    <w:rsid w:val="00E828BD"/>
    <w:rsid w:val="00E829CC"/>
    <w:rsid w:val="00E82BB8"/>
    <w:rsid w:val="00E82DA9"/>
    <w:rsid w:val="00E83113"/>
    <w:rsid w:val="00E83327"/>
    <w:rsid w:val="00E83423"/>
    <w:rsid w:val="00E8344B"/>
    <w:rsid w:val="00E8345B"/>
    <w:rsid w:val="00E836AC"/>
    <w:rsid w:val="00E83932"/>
    <w:rsid w:val="00E839B0"/>
    <w:rsid w:val="00E83D2A"/>
    <w:rsid w:val="00E84310"/>
    <w:rsid w:val="00E845C7"/>
    <w:rsid w:val="00E84C9D"/>
    <w:rsid w:val="00E84CDE"/>
    <w:rsid w:val="00E84D17"/>
    <w:rsid w:val="00E84FD2"/>
    <w:rsid w:val="00E85006"/>
    <w:rsid w:val="00E8504F"/>
    <w:rsid w:val="00E855A7"/>
    <w:rsid w:val="00E855F6"/>
    <w:rsid w:val="00E85671"/>
    <w:rsid w:val="00E85752"/>
    <w:rsid w:val="00E858B1"/>
    <w:rsid w:val="00E85C54"/>
    <w:rsid w:val="00E8611D"/>
    <w:rsid w:val="00E862A2"/>
    <w:rsid w:val="00E8672A"/>
    <w:rsid w:val="00E86828"/>
    <w:rsid w:val="00E86925"/>
    <w:rsid w:val="00E86B4B"/>
    <w:rsid w:val="00E86C5E"/>
    <w:rsid w:val="00E86F2C"/>
    <w:rsid w:val="00E8724F"/>
    <w:rsid w:val="00E87423"/>
    <w:rsid w:val="00E87CB6"/>
    <w:rsid w:val="00E87E6F"/>
    <w:rsid w:val="00E90063"/>
    <w:rsid w:val="00E9048D"/>
    <w:rsid w:val="00E906B8"/>
    <w:rsid w:val="00E90AB0"/>
    <w:rsid w:val="00E90D4D"/>
    <w:rsid w:val="00E910DF"/>
    <w:rsid w:val="00E91445"/>
    <w:rsid w:val="00E9170B"/>
    <w:rsid w:val="00E91898"/>
    <w:rsid w:val="00E91A07"/>
    <w:rsid w:val="00E91B21"/>
    <w:rsid w:val="00E91C6C"/>
    <w:rsid w:val="00E91F44"/>
    <w:rsid w:val="00E9203C"/>
    <w:rsid w:val="00E921C2"/>
    <w:rsid w:val="00E922A3"/>
    <w:rsid w:val="00E92312"/>
    <w:rsid w:val="00E92607"/>
    <w:rsid w:val="00E927A3"/>
    <w:rsid w:val="00E928CC"/>
    <w:rsid w:val="00E92FF7"/>
    <w:rsid w:val="00E933A2"/>
    <w:rsid w:val="00E93795"/>
    <w:rsid w:val="00E93913"/>
    <w:rsid w:val="00E939A9"/>
    <w:rsid w:val="00E93B85"/>
    <w:rsid w:val="00E941DA"/>
    <w:rsid w:val="00E94321"/>
    <w:rsid w:val="00E94BC3"/>
    <w:rsid w:val="00E94C09"/>
    <w:rsid w:val="00E94E88"/>
    <w:rsid w:val="00E94F0E"/>
    <w:rsid w:val="00E94FE0"/>
    <w:rsid w:val="00E95C3C"/>
    <w:rsid w:val="00E95C5C"/>
    <w:rsid w:val="00E95FF7"/>
    <w:rsid w:val="00E961A1"/>
    <w:rsid w:val="00E9647B"/>
    <w:rsid w:val="00E965D6"/>
    <w:rsid w:val="00E965F8"/>
    <w:rsid w:val="00E96E8E"/>
    <w:rsid w:val="00E96FFC"/>
    <w:rsid w:val="00E9713D"/>
    <w:rsid w:val="00E971E1"/>
    <w:rsid w:val="00E97247"/>
    <w:rsid w:val="00E9738A"/>
    <w:rsid w:val="00E973A9"/>
    <w:rsid w:val="00E97416"/>
    <w:rsid w:val="00E97896"/>
    <w:rsid w:val="00E97D47"/>
    <w:rsid w:val="00EA03A4"/>
    <w:rsid w:val="00EA086B"/>
    <w:rsid w:val="00EA0A5E"/>
    <w:rsid w:val="00EA0CD8"/>
    <w:rsid w:val="00EA10B9"/>
    <w:rsid w:val="00EA13E8"/>
    <w:rsid w:val="00EA151E"/>
    <w:rsid w:val="00EA17C6"/>
    <w:rsid w:val="00EA1FBE"/>
    <w:rsid w:val="00EA251F"/>
    <w:rsid w:val="00EA2639"/>
    <w:rsid w:val="00EA2692"/>
    <w:rsid w:val="00EA271E"/>
    <w:rsid w:val="00EA2859"/>
    <w:rsid w:val="00EA2C3D"/>
    <w:rsid w:val="00EA42D6"/>
    <w:rsid w:val="00EA4314"/>
    <w:rsid w:val="00EA43EE"/>
    <w:rsid w:val="00EA47F7"/>
    <w:rsid w:val="00EA5315"/>
    <w:rsid w:val="00EA5696"/>
    <w:rsid w:val="00EA5A07"/>
    <w:rsid w:val="00EA5C35"/>
    <w:rsid w:val="00EA5C4A"/>
    <w:rsid w:val="00EA5C6E"/>
    <w:rsid w:val="00EA5DFA"/>
    <w:rsid w:val="00EA650A"/>
    <w:rsid w:val="00EA6526"/>
    <w:rsid w:val="00EA6615"/>
    <w:rsid w:val="00EA6717"/>
    <w:rsid w:val="00EA6A88"/>
    <w:rsid w:val="00EA6D06"/>
    <w:rsid w:val="00EA6F62"/>
    <w:rsid w:val="00EA71E5"/>
    <w:rsid w:val="00EA77EE"/>
    <w:rsid w:val="00EA7A00"/>
    <w:rsid w:val="00EB042F"/>
    <w:rsid w:val="00EB0538"/>
    <w:rsid w:val="00EB0578"/>
    <w:rsid w:val="00EB08DC"/>
    <w:rsid w:val="00EB0C83"/>
    <w:rsid w:val="00EB10CF"/>
    <w:rsid w:val="00EB125C"/>
    <w:rsid w:val="00EB1480"/>
    <w:rsid w:val="00EB148D"/>
    <w:rsid w:val="00EB15AD"/>
    <w:rsid w:val="00EB1D61"/>
    <w:rsid w:val="00EB2104"/>
    <w:rsid w:val="00EB24E6"/>
    <w:rsid w:val="00EB2C46"/>
    <w:rsid w:val="00EB3364"/>
    <w:rsid w:val="00EB3481"/>
    <w:rsid w:val="00EB3875"/>
    <w:rsid w:val="00EB3901"/>
    <w:rsid w:val="00EB3BD5"/>
    <w:rsid w:val="00EB3C2D"/>
    <w:rsid w:val="00EB3D9C"/>
    <w:rsid w:val="00EB3F01"/>
    <w:rsid w:val="00EB3F1F"/>
    <w:rsid w:val="00EB4128"/>
    <w:rsid w:val="00EB454F"/>
    <w:rsid w:val="00EB455F"/>
    <w:rsid w:val="00EB45A2"/>
    <w:rsid w:val="00EB4CC3"/>
    <w:rsid w:val="00EB5048"/>
    <w:rsid w:val="00EB516C"/>
    <w:rsid w:val="00EB52E7"/>
    <w:rsid w:val="00EB5621"/>
    <w:rsid w:val="00EB5A85"/>
    <w:rsid w:val="00EB5FA6"/>
    <w:rsid w:val="00EB603D"/>
    <w:rsid w:val="00EB60E1"/>
    <w:rsid w:val="00EB6186"/>
    <w:rsid w:val="00EB63D8"/>
    <w:rsid w:val="00EB6621"/>
    <w:rsid w:val="00EB66FA"/>
    <w:rsid w:val="00EB6844"/>
    <w:rsid w:val="00EB6BBC"/>
    <w:rsid w:val="00EB6FFA"/>
    <w:rsid w:val="00EB7038"/>
    <w:rsid w:val="00EB7182"/>
    <w:rsid w:val="00EB769E"/>
    <w:rsid w:val="00EB76FE"/>
    <w:rsid w:val="00EB789A"/>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09A"/>
    <w:rsid w:val="00EC1149"/>
    <w:rsid w:val="00EC1280"/>
    <w:rsid w:val="00EC1324"/>
    <w:rsid w:val="00EC14EE"/>
    <w:rsid w:val="00EC176B"/>
    <w:rsid w:val="00EC1BC7"/>
    <w:rsid w:val="00EC1BD3"/>
    <w:rsid w:val="00EC1C04"/>
    <w:rsid w:val="00EC1E0A"/>
    <w:rsid w:val="00EC22CC"/>
    <w:rsid w:val="00EC2517"/>
    <w:rsid w:val="00EC2537"/>
    <w:rsid w:val="00EC2690"/>
    <w:rsid w:val="00EC2CC4"/>
    <w:rsid w:val="00EC2F10"/>
    <w:rsid w:val="00EC3126"/>
    <w:rsid w:val="00EC3290"/>
    <w:rsid w:val="00EC351E"/>
    <w:rsid w:val="00EC355E"/>
    <w:rsid w:val="00EC36C3"/>
    <w:rsid w:val="00EC379A"/>
    <w:rsid w:val="00EC3DFE"/>
    <w:rsid w:val="00EC4051"/>
    <w:rsid w:val="00EC411C"/>
    <w:rsid w:val="00EC4370"/>
    <w:rsid w:val="00EC444B"/>
    <w:rsid w:val="00EC4C85"/>
    <w:rsid w:val="00EC56B7"/>
    <w:rsid w:val="00EC586C"/>
    <w:rsid w:val="00EC58E1"/>
    <w:rsid w:val="00EC58EA"/>
    <w:rsid w:val="00EC5E9B"/>
    <w:rsid w:val="00EC5FD9"/>
    <w:rsid w:val="00EC60B4"/>
    <w:rsid w:val="00EC68F5"/>
    <w:rsid w:val="00EC6C0B"/>
    <w:rsid w:val="00EC7186"/>
    <w:rsid w:val="00EC7719"/>
    <w:rsid w:val="00EC7727"/>
    <w:rsid w:val="00EC7C1B"/>
    <w:rsid w:val="00EC7CF9"/>
    <w:rsid w:val="00EC7F54"/>
    <w:rsid w:val="00ED00C2"/>
    <w:rsid w:val="00ED0328"/>
    <w:rsid w:val="00ED0336"/>
    <w:rsid w:val="00ED04C6"/>
    <w:rsid w:val="00ED088C"/>
    <w:rsid w:val="00ED0C4A"/>
    <w:rsid w:val="00ED0D76"/>
    <w:rsid w:val="00ED0F0A"/>
    <w:rsid w:val="00ED1334"/>
    <w:rsid w:val="00ED17A9"/>
    <w:rsid w:val="00ED1B82"/>
    <w:rsid w:val="00ED1D33"/>
    <w:rsid w:val="00ED1D56"/>
    <w:rsid w:val="00ED20BB"/>
    <w:rsid w:val="00ED2269"/>
    <w:rsid w:val="00ED2D1C"/>
    <w:rsid w:val="00ED3090"/>
    <w:rsid w:val="00ED30B8"/>
    <w:rsid w:val="00ED3116"/>
    <w:rsid w:val="00ED3537"/>
    <w:rsid w:val="00ED3A88"/>
    <w:rsid w:val="00ED3B3D"/>
    <w:rsid w:val="00ED3D24"/>
    <w:rsid w:val="00ED3E22"/>
    <w:rsid w:val="00ED41F9"/>
    <w:rsid w:val="00ED4286"/>
    <w:rsid w:val="00ED4353"/>
    <w:rsid w:val="00ED4391"/>
    <w:rsid w:val="00ED477E"/>
    <w:rsid w:val="00ED479E"/>
    <w:rsid w:val="00ED48B0"/>
    <w:rsid w:val="00ED4B40"/>
    <w:rsid w:val="00ED4C8F"/>
    <w:rsid w:val="00ED4DC7"/>
    <w:rsid w:val="00ED5220"/>
    <w:rsid w:val="00ED5498"/>
    <w:rsid w:val="00ED58D4"/>
    <w:rsid w:val="00ED5D30"/>
    <w:rsid w:val="00ED5DA0"/>
    <w:rsid w:val="00ED5F00"/>
    <w:rsid w:val="00ED5FEC"/>
    <w:rsid w:val="00ED6CBD"/>
    <w:rsid w:val="00ED6D17"/>
    <w:rsid w:val="00ED6DC8"/>
    <w:rsid w:val="00ED6F66"/>
    <w:rsid w:val="00ED74FE"/>
    <w:rsid w:val="00ED75FA"/>
    <w:rsid w:val="00ED7880"/>
    <w:rsid w:val="00ED7959"/>
    <w:rsid w:val="00ED7AF2"/>
    <w:rsid w:val="00EE0179"/>
    <w:rsid w:val="00EE02DB"/>
    <w:rsid w:val="00EE0911"/>
    <w:rsid w:val="00EE0A4E"/>
    <w:rsid w:val="00EE0ED1"/>
    <w:rsid w:val="00EE0F99"/>
    <w:rsid w:val="00EE1111"/>
    <w:rsid w:val="00EE1400"/>
    <w:rsid w:val="00EE1449"/>
    <w:rsid w:val="00EE1836"/>
    <w:rsid w:val="00EE1928"/>
    <w:rsid w:val="00EE2114"/>
    <w:rsid w:val="00EE2139"/>
    <w:rsid w:val="00EE21FF"/>
    <w:rsid w:val="00EE2343"/>
    <w:rsid w:val="00EE2425"/>
    <w:rsid w:val="00EE28AE"/>
    <w:rsid w:val="00EE2B69"/>
    <w:rsid w:val="00EE2C9F"/>
    <w:rsid w:val="00EE2F2E"/>
    <w:rsid w:val="00EE31E4"/>
    <w:rsid w:val="00EE3236"/>
    <w:rsid w:val="00EE3553"/>
    <w:rsid w:val="00EE362E"/>
    <w:rsid w:val="00EE3989"/>
    <w:rsid w:val="00EE39D6"/>
    <w:rsid w:val="00EE3A7F"/>
    <w:rsid w:val="00EE3A94"/>
    <w:rsid w:val="00EE3C5F"/>
    <w:rsid w:val="00EE3DFA"/>
    <w:rsid w:val="00EE4077"/>
    <w:rsid w:val="00EE407F"/>
    <w:rsid w:val="00EE4161"/>
    <w:rsid w:val="00EE41D1"/>
    <w:rsid w:val="00EE4276"/>
    <w:rsid w:val="00EE434B"/>
    <w:rsid w:val="00EE480B"/>
    <w:rsid w:val="00EE4A0B"/>
    <w:rsid w:val="00EE4A13"/>
    <w:rsid w:val="00EE4AFB"/>
    <w:rsid w:val="00EE4C6F"/>
    <w:rsid w:val="00EE4CB7"/>
    <w:rsid w:val="00EE5040"/>
    <w:rsid w:val="00EE533A"/>
    <w:rsid w:val="00EE54BE"/>
    <w:rsid w:val="00EE5AA1"/>
    <w:rsid w:val="00EE5D7D"/>
    <w:rsid w:val="00EE62BE"/>
    <w:rsid w:val="00EE64EC"/>
    <w:rsid w:val="00EE667D"/>
    <w:rsid w:val="00EE66D1"/>
    <w:rsid w:val="00EE678D"/>
    <w:rsid w:val="00EE707B"/>
    <w:rsid w:val="00EE74F0"/>
    <w:rsid w:val="00EE765C"/>
    <w:rsid w:val="00EE7672"/>
    <w:rsid w:val="00EE795A"/>
    <w:rsid w:val="00EE7BD2"/>
    <w:rsid w:val="00EE7D34"/>
    <w:rsid w:val="00EE7D43"/>
    <w:rsid w:val="00EE7E6B"/>
    <w:rsid w:val="00EF0231"/>
    <w:rsid w:val="00EF04DB"/>
    <w:rsid w:val="00EF0553"/>
    <w:rsid w:val="00EF084A"/>
    <w:rsid w:val="00EF0929"/>
    <w:rsid w:val="00EF09B7"/>
    <w:rsid w:val="00EF0D48"/>
    <w:rsid w:val="00EF1132"/>
    <w:rsid w:val="00EF1148"/>
    <w:rsid w:val="00EF137B"/>
    <w:rsid w:val="00EF159E"/>
    <w:rsid w:val="00EF162C"/>
    <w:rsid w:val="00EF1841"/>
    <w:rsid w:val="00EF189D"/>
    <w:rsid w:val="00EF1C1E"/>
    <w:rsid w:val="00EF1C97"/>
    <w:rsid w:val="00EF2004"/>
    <w:rsid w:val="00EF2041"/>
    <w:rsid w:val="00EF212E"/>
    <w:rsid w:val="00EF2231"/>
    <w:rsid w:val="00EF2310"/>
    <w:rsid w:val="00EF236D"/>
    <w:rsid w:val="00EF283D"/>
    <w:rsid w:val="00EF2B60"/>
    <w:rsid w:val="00EF2B79"/>
    <w:rsid w:val="00EF2C97"/>
    <w:rsid w:val="00EF2D04"/>
    <w:rsid w:val="00EF2E8F"/>
    <w:rsid w:val="00EF3218"/>
    <w:rsid w:val="00EF3733"/>
    <w:rsid w:val="00EF3CEE"/>
    <w:rsid w:val="00EF3DD5"/>
    <w:rsid w:val="00EF3DE8"/>
    <w:rsid w:val="00EF4764"/>
    <w:rsid w:val="00EF4AE1"/>
    <w:rsid w:val="00EF4DDF"/>
    <w:rsid w:val="00EF5038"/>
    <w:rsid w:val="00EF50AB"/>
    <w:rsid w:val="00EF52EE"/>
    <w:rsid w:val="00EF537E"/>
    <w:rsid w:val="00EF55B7"/>
    <w:rsid w:val="00EF55D6"/>
    <w:rsid w:val="00EF63EF"/>
    <w:rsid w:val="00EF63F4"/>
    <w:rsid w:val="00EF648B"/>
    <w:rsid w:val="00EF64D1"/>
    <w:rsid w:val="00EF6609"/>
    <w:rsid w:val="00EF6631"/>
    <w:rsid w:val="00EF6756"/>
    <w:rsid w:val="00EF69C3"/>
    <w:rsid w:val="00EF6B09"/>
    <w:rsid w:val="00EF6D6C"/>
    <w:rsid w:val="00EF7316"/>
    <w:rsid w:val="00EF7350"/>
    <w:rsid w:val="00EF7379"/>
    <w:rsid w:val="00EF74E7"/>
    <w:rsid w:val="00EF7A11"/>
    <w:rsid w:val="00EF7CF3"/>
    <w:rsid w:val="00EF7F38"/>
    <w:rsid w:val="00F0018C"/>
    <w:rsid w:val="00F00853"/>
    <w:rsid w:val="00F008A4"/>
    <w:rsid w:val="00F00AA8"/>
    <w:rsid w:val="00F00C55"/>
    <w:rsid w:val="00F00CD4"/>
    <w:rsid w:val="00F0112E"/>
    <w:rsid w:val="00F0164E"/>
    <w:rsid w:val="00F01C99"/>
    <w:rsid w:val="00F02578"/>
    <w:rsid w:val="00F0258B"/>
    <w:rsid w:val="00F028CD"/>
    <w:rsid w:val="00F02A50"/>
    <w:rsid w:val="00F02C19"/>
    <w:rsid w:val="00F02C22"/>
    <w:rsid w:val="00F02D61"/>
    <w:rsid w:val="00F02ED6"/>
    <w:rsid w:val="00F031D5"/>
    <w:rsid w:val="00F033A8"/>
    <w:rsid w:val="00F0378D"/>
    <w:rsid w:val="00F04985"/>
    <w:rsid w:val="00F049CF"/>
    <w:rsid w:val="00F04A38"/>
    <w:rsid w:val="00F04AE3"/>
    <w:rsid w:val="00F04C28"/>
    <w:rsid w:val="00F04F92"/>
    <w:rsid w:val="00F04FFC"/>
    <w:rsid w:val="00F05190"/>
    <w:rsid w:val="00F0584C"/>
    <w:rsid w:val="00F05B34"/>
    <w:rsid w:val="00F05F61"/>
    <w:rsid w:val="00F062D1"/>
    <w:rsid w:val="00F06476"/>
    <w:rsid w:val="00F06B4F"/>
    <w:rsid w:val="00F06FAB"/>
    <w:rsid w:val="00F072E4"/>
    <w:rsid w:val="00F076F4"/>
    <w:rsid w:val="00F0790D"/>
    <w:rsid w:val="00F1045D"/>
    <w:rsid w:val="00F10492"/>
    <w:rsid w:val="00F10520"/>
    <w:rsid w:val="00F10739"/>
    <w:rsid w:val="00F108A2"/>
    <w:rsid w:val="00F10AE9"/>
    <w:rsid w:val="00F10B16"/>
    <w:rsid w:val="00F10BE1"/>
    <w:rsid w:val="00F110FE"/>
    <w:rsid w:val="00F112D9"/>
    <w:rsid w:val="00F11300"/>
    <w:rsid w:val="00F115DB"/>
    <w:rsid w:val="00F11621"/>
    <w:rsid w:val="00F1170F"/>
    <w:rsid w:val="00F117AF"/>
    <w:rsid w:val="00F11B95"/>
    <w:rsid w:val="00F11C7C"/>
    <w:rsid w:val="00F12057"/>
    <w:rsid w:val="00F1211A"/>
    <w:rsid w:val="00F12490"/>
    <w:rsid w:val="00F12718"/>
    <w:rsid w:val="00F12DAD"/>
    <w:rsid w:val="00F13212"/>
    <w:rsid w:val="00F133F8"/>
    <w:rsid w:val="00F1340F"/>
    <w:rsid w:val="00F13696"/>
    <w:rsid w:val="00F136F7"/>
    <w:rsid w:val="00F13B04"/>
    <w:rsid w:val="00F13CF8"/>
    <w:rsid w:val="00F13F5A"/>
    <w:rsid w:val="00F13FF3"/>
    <w:rsid w:val="00F1450A"/>
    <w:rsid w:val="00F14CF4"/>
    <w:rsid w:val="00F14D2D"/>
    <w:rsid w:val="00F14DC8"/>
    <w:rsid w:val="00F14FE5"/>
    <w:rsid w:val="00F15201"/>
    <w:rsid w:val="00F152C4"/>
    <w:rsid w:val="00F15345"/>
    <w:rsid w:val="00F1535F"/>
    <w:rsid w:val="00F15C47"/>
    <w:rsid w:val="00F15CBA"/>
    <w:rsid w:val="00F15CDD"/>
    <w:rsid w:val="00F15DD6"/>
    <w:rsid w:val="00F15FC7"/>
    <w:rsid w:val="00F16543"/>
    <w:rsid w:val="00F165A2"/>
    <w:rsid w:val="00F16607"/>
    <w:rsid w:val="00F16A2B"/>
    <w:rsid w:val="00F16F17"/>
    <w:rsid w:val="00F1717A"/>
    <w:rsid w:val="00F179D5"/>
    <w:rsid w:val="00F17A48"/>
    <w:rsid w:val="00F17D0D"/>
    <w:rsid w:val="00F17EC3"/>
    <w:rsid w:val="00F17F16"/>
    <w:rsid w:val="00F2062A"/>
    <w:rsid w:val="00F207D5"/>
    <w:rsid w:val="00F20917"/>
    <w:rsid w:val="00F20A01"/>
    <w:rsid w:val="00F20A47"/>
    <w:rsid w:val="00F20AD4"/>
    <w:rsid w:val="00F20F18"/>
    <w:rsid w:val="00F21031"/>
    <w:rsid w:val="00F212DB"/>
    <w:rsid w:val="00F212EA"/>
    <w:rsid w:val="00F2143E"/>
    <w:rsid w:val="00F215A3"/>
    <w:rsid w:val="00F21DCA"/>
    <w:rsid w:val="00F2280A"/>
    <w:rsid w:val="00F228AC"/>
    <w:rsid w:val="00F230A0"/>
    <w:rsid w:val="00F235EE"/>
    <w:rsid w:val="00F236CD"/>
    <w:rsid w:val="00F236D4"/>
    <w:rsid w:val="00F2381E"/>
    <w:rsid w:val="00F2387E"/>
    <w:rsid w:val="00F2393C"/>
    <w:rsid w:val="00F23AF6"/>
    <w:rsid w:val="00F23F58"/>
    <w:rsid w:val="00F2401C"/>
    <w:rsid w:val="00F241FF"/>
    <w:rsid w:val="00F242E5"/>
    <w:rsid w:val="00F247A9"/>
    <w:rsid w:val="00F24B77"/>
    <w:rsid w:val="00F24BB0"/>
    <w:rsid w:val="00F24C6A"/>
    <w:rsid w:val="00F24FE3"/>
    <w:rsid w:val="00F251BD"/>
    <w:rsid w:val="00F2524E"/>
    <w:rsid w:val="00F2536F"/>
    <w:rsid w:val="00F2537F"/>
    <w:rsid w:val="00F254D3"/>
    <w:rsid w:val="00F258E5"/>
    <w:rsid w:val="00F25A16"/>
    <w:rsid w:val="00F25B42"/>
    <w:rsid w:val="00F25CFB"/>
    <w:rsid w:val="00F25D98"/>
    <w:rsid w:val="00F261D9"/>
    <w:rsid w:val="00F26375"/>
    <w:rsid w:val="00F26F9E"/>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125"/>
    <w:rsid w:val="00F316A7"/>
    <w:rsid w:val="00F316AC"/>
    <w:rsid w:val="00F31B15"/>
    <w:rsid w:val="00F31C49"/>
    <w:rsid w:val="00F31C76"/>
    <w:rsid w:val="00F31C90"/>
    <w:rsid w:val="00F327C5"/>
    <w:rsid w:val="00F32CE4"/>
    <w:rsid w:val="00F32F20"/>
    <w:rsid w:val="00F33583"/>
    <w:rsid w:val="00F33682"/>
    <w:rsid w:val="00F337C8"/>
    <w:rsid w:val="00F33832"/>
    <w:rsid w:val="00F33884"/>
    <w:rsid w:val="00F33A46"/>
    <w:rsid w:val="00F33B61"/>
    <w:rsid w:val="00F33C3B"/>
    <w:rsid w:val="00F33E95"/>
    <w:rsid w:val="00F340F4"/>
    <w:rsid w:val="00F34406"/>
    <w:rsid w:val="00F34408"/>
    <w:rsid w:val="00F348D4"/>
    <w:rsid w:val="00F3497E"/>
    <w:rsid w:val="00F34BDC"/>
    <w:rsid w:val="00F34EAF"/>
    <w:rsid w:val="00F351F4"/>
    <w:rsid w:val="00F357F6"/>
    <w:rsid w:val="00F35B31"/>
    <w:rsid w:val="00F35BDD"/>
    <w:rsid w:val="00F35D85"/>
    <w:rsid w:val="00F35DDF"/>
    <w:rsid w:val="00F35FC6"/>
    <w:rsid w:val="00F36220"/>
    <w:rsid w:val="00F36641"/>
    <w:rsid w:val="00F36B82"/>
    <w:rsid w:val="00F36C87"/>
    <w:rsid w:val="00F36ED2"/>
    <w:rsid w:val="00F36F64"/>
    <w:rsid w:val="00F36F84"/>
    <w:rsid w:val="00F37342"/>
    <w:rsid w:val="00F375B8"/>
    <w:rsid w:val="00F37F32"/>
    <w:rsid w:val="00F403AA"/>
    <w:rsid w:val="00F40803"/>
    <w:rsid w:val="00F40DAC"/>
    <w:rsid w:val="00F41209"/>
    <w:rsid w:val="00F4131F"/>
    <w:rsid w:val="00F414C4"/>
    <w:rsid w:val="00F41739"/>
    <w:rsid w:val="00F4193E"/>
    <w:rsid w:val="00F41B9E"/>
    <w:rsid w:val="00F41FC9"/>
    <w:rsid w:val="00F4220E"/>
    <w:rsid w:val="00F42BE7"/>
    <w:rsid w:val="00F438DD"/>
    <w:rsid w:val="00F43D4A"/>
    <w:rsid w:val="00F43F37"/>
    <w:rsid w:val="00F44098"/>
    <w:rsid w:val="00F44146"/>
    <w:rsid w:val="00F44783"/>
    <w:rsid w:val="00F44A58"/>
    <w:rsid w:val="00F44A95"/>
    <w:rsid w:val="00F44C29"/>
    <w:rsid w:val="00F44E07"/>
    <w:rsid w:val="00F45052"/>
    <w:rsid w:val="00F4505C"/>
    <w:rsid w:val="00F451AA"/>
    <w:rsid w:val="00F45477"/>
    <w:rsid w:val="00F454CF"/>
    <w:rsid w:val="00F45D52"/>
    <w:rsid w:val="00F46225"/>
    <w:rsid w:val="00F462DD"/>
    <w:rsid w:val="00F46370"/>
    <w:rsid w:val="00F463B7"/>
    <w:rsid w:val="00F463DE"/>
    <w:rsid w:val="00F466A2"/>
    <w:rsid w:val="00F46702"/>
    <w:rsid w:val="00F46899"/>
    <w:rsid w:val="00F46E8B"/>
    <w:rsid w:val="00F46EB5"/>
    <w:rsid w:val="00F4718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0F75"/>
    <w:rsid w:val="00F51085"/>
    <w:rsid w:val="00F51330"/>
    <w:rsid w:val="00F5157F"/>
    <w:rsid w:val="00F51871"/>
    <w:rsid w:val="00F51888"/>
    <w:rsid w:val="00F518D3"/>
    <w:rsid w:val="00F51F24"/>
    <w:rsid w:val="00F52011"/>
    <w:rsid w:val="00F52460"/>
    <w:rsid w:val="00F52626"/>
    <w:rsid w:val="00F52939"/>
    <w:rsid w:val="00F52A2E"/>
    <w:rsid w:val="00F52B47"/>
    <w:rsid w:val="00F52BE3"/>
    <w:rsid w:val="00F534C0"/>
    <w:rsid w:val="00F5399F"/>
    <w:rsid w:val="00F53A00"/>
    <w:rsid w:val="00F53EBD"/>
    <w:rsid w:val="00F540DB"/>
    <w:rsid w:val="00F5423E"/>
    <w:rsid w:val="00F54C81"/>
    <w:rsid w:val="00F54D5C"/>
    <w:rsid w:val="00F54EA6"/>
    <w:rsid w:val="00F5521A"/>
    <w:rsid w:val="00F55AAF"/>
    <w:rsid w:val="00F55EE0"/>
    <w:rsid w:val="00F560DD"/>
    <w:rsid w:val="00F562BE"/>
    <w:rsid w:val="00F563FF"/>
    <w:rsid w:val="00F564A1"/>
    <w:rsid w:val="00F5653E"/>
    <w:rsid w:val="00F565B5"/>
    <w:rsid w:val="00F56789"/>
    <w:rsid w:val="00F56BBE"/>
    <w:rsid w:val="00F56E19"/>
    <w:rsid w:val="00F56E8B"/>
    <w:rsid w:val="00F57005"/>
    <w:rsid w:val="00F575AB"/>
    <w:rsid w:val="00F57815"/>
    <w:rsid w:val="00F600FF"/>
    <w:rsid w:val="00F601F4"/>
    <w:rsid w:val="00F60292"/>
    <w:rsid w:val="00F60313"/>
    <w:rsid w:val="00F6076E"/>
    <w:rsid w:val="00F607BC"/>
    <w:rsid w:val="00F609AB"/>
    <w:rsid w:val="00F60A45"/>
    <w:rsid w:val="00F60BEB"/>
    <w:rsid w:val="00F60D1F"/>
    <w:rsid w:val="00F60D31"/>
    <w:rsid w:val="00F60F72"/>
    <w:rsid w:val="00F612AC"/>
    <w:rsid w:val="00F616EB"/>
    <w:rsid w:val="00F61B01"/>
    <w:rsid w:val="00F61B0C"/>
    <w:rsid w:val="00F61C20"/>
    <w:rsid w:val="00F61C54"/>
    <w:rsid w:val="00F61DA0"/>
    <w:rsid w:val="00F61E6A"/>
    <w:rsid w:val="00F61E99"/>
    <w:rsid w:val="00F624DC"/>
    <w:rsid w:val="00F62AFC"/>
    <w:rsid w:val="00F62B61"/>
    <w:rsid w:val="00F62CA3"/>
    <w:rsid w:val="00F62FED"/>
    <w:rsid w:val="00F63020"/>
    <w:rsid w:val="00F6346A"/>
    <w:rsid w:val="00F634DA"/>
    <w:rsid w:val="00F63694"/>
    <w:rsid w:val="00F63717"/>
    <w:rsid w:val="00F639F3"/>
    <w:rsid w:val="00F63AB2"/>
    <w:rsid w:val="00F63BAA"/>
    <w:rsid w:val="00F63C08"/>
    <w:rsid w:val="00F63C33"/>
    <w:rsid w:val="00F63D3B"/>
    <w:rsid w:val="00F63DB6"/>
    <w:rsid w:val="00F64058"/>
    <w:rsid w:val="00F640CC"/>
    <w:rsid w:val="00F6418E"/>
    <w:rsid w:val="00F641F4"/>
    <w:rsid w:val="00F642A6"/>
    <w:rsid w:val="00F643E4"/>
    <w:rsid w:val="00F645F2"/>
    <w:rsid w:val="00F646A7"/>
    <w:rsid w:val="00F6475C"/>
    <w:rsid w:val="00F6484B"/>
    <w:rsid w:val="00F64865"/>
    <w:rsid w:val="00F64A6C"/>
    <w:rsid w:val="00F64AC4"/>
    <w:rsid w:val="00F64D47"/>
    <w:rsid w:val="00F64E74"/>
    <w:rsid w:val="00F64EDF"/>
    <w:rsid w:val="00F653D2"/>
    <w:rsid w:val="00F654EA"/>
    <w:rsid w:val="00F655BE"/>
    <w:rsid w:val="00F65B46"/>
    <w:rsid w:val="00F65D5C"/>
    <w:rsid w:val="00F65F9C"/>
    <w:rsid w:val="00F6624C"/>
    <w:rsid w:val="00F66265"/>
    <w:rsid w:val="00F6626E"/>
    <w:rsid w:val="00F6635D"/>
    <w:rsid w:val="00F6662A"/>
    <w:rsid w:val="00F6697D"/>
    <w:rsid w:val="00F66AC3"/>
    <w:rsid w:val="00F66F99"/>
    <w:rsid w:val="00F675A4"/>
    <w:rsid w:val="00F676B3"/>
    <w:rsid w:val="00F67767"/>
    <w:rsid w:val="00F67854"/>
    <w:rsid w:val="00F67AA6"/>
    <w:rsid w:val="00F67B40"/>
    <w:rsid w:val="00F67C6D"/>
    <w:rsid w:val="00F67F12"/>
    <w:rsid w:val="00F70006"/>
    <w:rsid w:val="00F70179"/>
    <w:rsid w:val="00F704B8"/>
    <w:rsid w:val="00F70564"/>
    <w:rsid w:val="00F705FA"/>
    <w:rsid w:val="00F70621"/>
    <w:rsid w:val="00F70709"/>
    <w:rsid w:val="00F707B1"/>
    <w:rsid w:val="00F709DC"/>
    <w:rsid w:val="00F71132"/>
    <w:rsid w:val="00F711E7"/>
    <w:rsid w:val="00F7148A"/>
    <w:rsid w:val="00F714B3"/>
    <w:rsid w:val="00F71535"/>
    <w:rsid w:val="00F717A0"/>
    <w:rsid w:val="00F71822"/>
    <w:rsid w:val="00F71870"/>
    <w:rsid w:val="00F71922"/>
    <w:rsid w:val="00F71A4F"/>
    <w:rsid w:val="00F71A7A"/>
    <w:rsid w:val="00F7207D"/>
    <w:rsid w:val="00F7228B"/>
    <w:rsid w:val="00F72482"/>
    <w:rsid w:val="00F72697"/>
    <w:rsid w:val="00F727EA"/>
    <w:rsid w:val="00F72982"/>
    <w:rsid w:val="00F72A25"/>
    <w:rsid w:val="00F72B3C"/>
    <w:rsid w:val="00F733D2"/>
    <w:rsid w:val="00F7347C"/>
    <w:rsid w:val="00F73695"/>
    <w:rsid w:val="00F739C1"/>
    <w:rsid w:val="00F73D02"/>
    <w:rsid w:val="00F743E2"/>
    <w:rsid w:val="00F74703"/>
    <w:rsid w:val="00F7491E"/>
    <w:rsid w:val="00F74967"/>
    <w:rsid w:val="00F74DC6"/>
    <w:rsid w:val="00F74F5C"/>
    <w:rsid w:val="00F74F5D"/>
    <w:rsid w:val="00F7547D"/>
    <w:rsid w:val="00F7550D"/>
    <w:rsid w:val="00F758D6"/>
    <w:rsid w:val="00F75BCF"/>
    <w:rsid w:val="00F75C77"/>
    <w:rsid w:val="00F76238"/>
    <w:rsid w:val="00F7637E"/>
    <w:rsid w:val="00F7645A"/>
    <w:rsid w:val="00F76542"/>
    <w:rsid w:val="00F7660B"/>
    <w:rsid w:val="00F76672"/>
    <w:rsid w:val="00F767E5"/>
    <w:rsid w:val="00F76E32"/>
    <w:rsid w:val="00F76FEA"/>
    <w:rsid w:val="00F7717F"/>
    <w:rsid w:val="00F7725B"/>
    <w:rsid w:val="00F77268"/>
    <w:rsid w:val="00F773A6"/>
    <w:rsid w:val="00F77694"/>
    <w:rsid w:val="00F77D3F"/>
    <w:rsid w:val="00F77E7D"/>
    <w:rsid w:val="00F77F83"/>
    <w:rsid w:val="00F77FBC"/>
    <w:rsid w:val="00F800EF"/>
    <w:rsid w:val="00F8010B"/>
    <w:rsid w:val="00F80276"/>
    <w:rsid w:val="00F804A0"/>
    <w:rsid w:val="00F805D0"/>
    <w:rsid w:val="00F80780"/>
    <w:rsid w:val="00F807FB"/>
    <w:rsid w:val="00F80A27"/>
    <w:rsid w:val="00F80A77"/>
    <w:rsid w:val="00F80AF9"/>
    <w:rsid w:val="00F80DBD"/>
    <w:rsid w:val="00F810C3"/>
    <w:rsid w:val="00F81145"/>
    <w:rsid w:val="00F81236"/>
    <w:rsid w:val="00F8185B"/>
    <w:rsid w:val="00F819E5"/>
    <w:rsid w:val="00F81A08"/>
    <w:rsid w:val="00F81BF9"/>
    <w:rsid w:val="00F81D9D"/>
    <w:rsid w:val="00F8206F"/>
    <w:rsid w:val="00F824CF"/>
    <w:rsid w:val="00F82520"/>
    <w:rsid w:val="00F82527"/>
    <w:rsid w:val="00F82738"/>
    <w:rsid w:val="00F82C03"/>
    <w:rsid w:val="00F82C99"/>
    <w:rsid w:val="00F83045"/>
    <w:rsid w:val="00F8307D"/>
    <w:rsid w:val="00F834DD"/>
    <w:rsid w:val="00F8370F"/>
    <w:rsid w:val="00F83714"/>
    <w:rsid w:val="00F837CE"/>
    <w:rsid w:val="00F83AAB"/>
    <w:rsid w:val="00F840F1"/>
    <w:rsid w:val="00F84163"/>
    <w:rsid w:val="00F841F1"/>
    <w:rsid w:val="00F84373"/>
    <w:rsid w:val="00F84699"/>
    <w:rsid w:val="00F84C75"/>
    <w:rsid w:val="00F84CB9"/>
    <w:rsid w:val="00F84D6B"/>
    <w:rsid w:val="00F84D8F"/>
    <w:rsid w:val="00F84F08"/>
    <w:rsid w:val="00F84FFB"/>
    <w:rsid w:val="00F851A0"/>
    <w:rsid w:val="00F851CF"/>
    <w:rsid w:val="00F852AF"/>
    <w:rsid w:val="00F85751"/>
    <w:rsid w:val="00F857B9"/>
    <w:rsid w:val="00F858AF"/>
    <w:rsid w:val="00F85B2A"/>
    <w:rsid w:val="00F85D7E"/>
    <w:rsid w:val="00F85EC8"/>
    <w:rsid w:val="00F8623C"/>
    <w:rsid w:val="00F8625C"/>
    <w:rsid w:val="00F863D4"/>
    <w:rsid w:val="00F8641A"/>
    <w:rsid w:val="00F864B5"/>
    <w:rsid w:val="00F86627"/>
    <w:rsid w:val="00F868E5"/>
    <w:rsid w:val="00F86FC5"/>
    <w:rsid w:val="00F86FF3"/>
    <w:rsid w:val="00F872E2"/>
    <w:rsid w:val="00F87383"/>
    <w:rsid w:val="00F87596"/>
    <w:rsid w:val="00F87CB8"/>
    <w:rsid w:val="00F87CC3"/>
    <w:rsid w:val="00F87E64"/>
    <w:rsid w:val="00F9020D"/>
    <w:rsid w:val="00F9025C"/>
    <w:rsid w:val="00F9063E"/>
    <w:rsid w:val="00F90AD2"/>
    <w:rsid w:val="00F90C9A"/>
    <w:rsid w:val="00F90D35"/>
    <w:rsid w:val="00F91033"/>
    <w:rsid w:val="00F9112F"/>
    <w:rsid w:val="00F91679"/>
    <w:rsid w:val="00F916E8"/>
    <w:rsid w:val="00F9189F"/>
    <w:rsid w:val="00F91C99"/>
    <w:rsid w:val="00F91E87"/>
    <w:rsid w:val="00F91F60"/>
    <w:rsid w:val="00F91FBF"/>
    <w:rsid w:val="00F920C0"/>
    <w:rsid w:val="00F92135"/>
    <w:rsid w:val="00F922C3"/>
    <w:rsid w:val="00F9242B"/>
    <w:rsid w:val="00F92BD7"/>
    <w:rsid w:val="00F9305F"/>
    <w:rsid w:val="00F930E2"/>
    <w:rsid w:val="00F93411"/>
    <w:rsid w:val="00F935FC"/>
    <w:rsid w:val="00F9379C"/>
    <w:rsid w:val="00F937C2"/>
    <w:rsid w:val="00F937DF"/>
    <w:rsid w:val="00F93BC3"/>
    <w:rsid w:val="00F94000"/>
    <w:rsid w:val="00F942F0"/>
    <w:rsid w:val="00F944A1"/>
    <w:rsid w:val="00F94545"/>
    <w:rsid w:val="00F94846"/>
    <w:rsid w:val="00F94B51"/>
    <w:rsid w:val="00F94E18"/>
    <w:rsid w:val="00F95052"/>
    <w:rsid w:val="00F9512C"/>
    <w:rsid w:val="00F95144"/>
    <w:rsid w:val="00F955D8"/>
    <w:rsid w:val="00F95917"/>
    <w:rsid w:val="00F95A54"/>
    <w:rsid w:val="00F95D33"/>
    <w:rsid w:val="00F95FD9"/>
    <w:rsid w:val="00F961CB"/>
    <w:rsid w:val="00F963F3"/>
    <w:rsid w:val="00F96869"/>
    <w:rsid w:val="00F96A52"/>
    <w:rsid w:val="00F96B99"/>
    <w:rsid w:val="00F975A1"/>
    <w:rsid w:val="00F978A6"/>
    <w:rsid w:val="00FA00CC"/>
    <w:rsid w:val="00FA0207"/>
    <w:rsid w:val="00FA06EF"/>
    <w:rsid w:val="00FA08C9"/>
    <w:rsid w:val="00FA0BCA"/>
    <w:rsid w:val="00FA12BA"/>
    <w:rsid w:val="00FA1352"/>
    <w:rsid w:val="00FA13DD"/>
    <w:rsid w:val="00FA1590"/>
    <w:rsid w:val="00FA1699"/>
    <w:rsid w:val="00FA1739"/>
    <w:rsid w:val="00FA1C25"/>
    <w:rsid w:val="00FA1D81"/>
    <w:rsid w:val="00FA1F3B"/>
    <w:rsid w:val="00FA1FA1"/>
    <w:rsid w:val="00FA2264"/>
    <w:rsid w:val="00FA2277"/>
    <w:rsid w:val="00FA22CF"/>
    <w:rsid w:val="00FA2354"/>
    <w:rsid w:val="00FA24AC"/>
    <w:rsid w:val="00FA2884"/>
    <w:rsid w:val="00FA2A33"/>
    <w:rsid w:val="00FA3287"/>
    <w:rsid w:val="00FA38D0"/>
    <w:rsid w:val="00FA3B12"/>
    <w:rsid w:val="00FA3BAC"/>
    <w:rsid w:val="00FA3EB4"/>
    <w:rsid w:val="00FA3FC4"/>
    <w:rsid w:val="00FA4312"/>
    <w:rsid w:val="00FA43F5"/>
    <w:rsid w:val="00FA4439"/>
    <w:rsid w:val="00FA4654"/>
    <w:rsid w:val="00FA4957"/>
    <w:rsid w:val="00FA4C4F"/>
    <w:rsid w:val="00FA4C61"/>
    <w:rsid w:val="00FA4CBD"/>
    <w:rsid w:val="00FA4FE2"/>
    <w:rsid w:val="00FA5242"/>
    <w:rsid w:val="00FA55AB"/>
    <w:rsid w:val="00FA55C0"/>
    <w:rsid w:val="00FA5BFD"/>
    <w:rsid w:val="00FA5C38"/>
    <w:rsid w:val="00FA5E4D"/>
    <w:rsid w:val="00FA62B3"/>
    <w:rsid w:val="00FA63C7"/>
    <w:rsid w:val="00FA65A1"/>
    <w:rsid w:val="00FA674D"/>
    <w:rsid w:val="00FA69E5"/>
    <w:rsid w:val="00FA709F"/>
    <w:rsid w:val="00FA7340"/>
    <w:rsid w:val="00FA7376"/>
    <w:rsid w:val="00FA74F6"/>
    <w:rsid w:val="00FA77C3"/>
    <w:rsid w:val="00FA787B"/>
    <w:rsid w:val="00FA7A8A"/>
    <w:rsid w:val="00FA7DC8"/>
    <w:rsid w:val="00FA7EBA"/>
    <w:rsid w:val="00FA7F13"/>
    <w:rsid w:val="00FB0385"/>
    <w:rsid w:val="00FB0560"/>
    <w:rsid w:val="00FB075F"/>
    <w:rsid w:val="00FB0998"/>
    <w:rsid w:val="00FB0ADB"/>
    <w:rsid w:val="00FB0B25"/>
    <w:rsid w:val="00FB0CD1"/>
    <w:rsid w:val="00FB0D30"/>
    <w:rsid w:val="00FB0EC4"/>
    <w:rsid w:val="00FB113E"/>
    <w:rsid w:val="00FB11EF"/>
    <w:rsid w:val="00FB120C"/>
    <w:rsid w:val="00FB1499"/>
    <w:rsid w:val="00FB192C"/>
    <w:rsid w:val="00FB1BB8"/>
    <w:rsid w:val="00FB1DD1"/>
    <w:rsid w:val="00FB22C7"/>
    <w:rsid w:val="00FB24DB"/>
    <w:rsid w:val="00FB2853"/>
    <w:rsid w:val="00FB29DF"/>
    <w:rsid w:val="00FB2A89"/>
    <w:rsid w:val="00FB2A8D"/>
    <w:rsid w:val="00FB2C2B"/>
    <w:rsid w:val="00FB2DE5"/>
    <w:rsid w:val="00FB2EA9"/>
    <w:rsid w:val="00FB325F"/>
    <w:rsid w:val="00FB357D"/>
    <w:rsid w:val="00FB38B1"/>
    <w:rsid w:val="00FB3C89"/>
    <w:rsid w:val="00FB3D40"/>
    <w:rsid w:val="00FB3FF4"/>
    <w:rsid w:val="00FB40EE"/>
    <w:rsid w:val="00FB4725"/>
    <w:rsid w:val="00FB4850"/>
    <w:rsid w:val="00FB4CE5"/>
    <w:rsid w:val="00FB4E84"/>
    <w:rsid w:val="00FB4F93"/>
    <w:rsid w:val="00FB50E8"/>
    <w:rsid w:val="00FB519B"/>
    <w:rsid w:val="00FB522B"/>
    <w:rsid w:val="00FB54D3"/>
    <w:rsid w:val="00FB575F"/>
    <w:rsid w:val="00FB5887"/>
    <w:rsid w:val="00FB5BBC"/>
    <w:rsid w:val="00FB5C68"/>
    <w:rsid w:val="00FB5F26"/>
    <w:rsid w:val="00FB6195"/>
    <w:rsid w:val="00FB67DA"/>
    <w:rsid w:val="00FB68F9"/>
    <w:rsid w:val="00FB695C"/>
    <w:rsid w:val="00FB6CE6"/>
    <w:rsid w:val="00FB6E7B"/>
    <w:rsid w:val="00FB71BD"/>
    <w:rsid w:val="00FB73FB"/>
    <w:rsid w:val="00FB75D3"/>
    <w:rsid w:val="00FB7865"/>
    <w:rsid w:val="00FB7F73"/>
    <w:rsid w:val="00FC0538"/>
    <w:rsid w:val="00FC091E"/>
    <w:rsid w:val="00FC09B6"/>
    <w:rsid w:val="00FC0D20"/>
    <w:rsid w:val="00FC0EB9"/>
    <w:rsid w:val="00FC0F8A"/>
    <w:rsid w:val="00FC0FF7"/>
    <w:rsid w:val="00FC1138"/>
    <w:rsid w:val="00FC118A"/>
    <w:rsid w:val="00FC13A1"/>
    <w:rsid w:val="00FC14E6"/>
    <w:rsid w:val="00FC163E"/>
    <w:rsid w:val="00FC1836"/>
    <w:rsid w:val="00FC1949"/>
    <w:rsid w:val="00FC1C3F"/>
    <w:rsid w:val="00FC2196"/>
    <w:rsid w:val="00FC24B7"/>
    <w:rsid w:val="00FC29D1"/>
    <w:rsid w:val="00FC2AB0"/>
    <w:rsid w:val="00FC2D61"/>
    <w:rsid w:val="00FC2D9C"/>
    <w:rsid w:val="00FC2E9F"/>
    <w:rsid w:val="00FC307C"/>
    <w:rsid w:val="00FC353F"/>
    <w:rsid w:val="00FC3E86"/>
    <w:rsid w:val="00FC46B9"/>
    <w:rsid w:val="00FC46CF"/>
    <w:rsid w:val="00FC4959"/>
    <w:rsid w:val="00FC4A02"/>
    <w:rsid w:val="00FC4E0F"/>
    <w:rsid w:val="00FC4E94"/>
    <w:rsid w:val="00FC4EA1"/>
    <w:rsid w:val="00FC4EC5"/>
    <w:rsid w:val="00FC4F55"/>
    <w:rsid w:val="00FC53C0"/>
    <w:rsid w:val="00FC53F6"/>
    <w:rsid w:val="00FC5623"/>
    <w:rsid w:val="00FC5917"/>
    <w:rsid w:val="00FC5D94"/>
    <w:rsid w:val="00FC5F68"/>
    <w:rsid w:val="00FC609C"/>
    <w:rsid w:val="00FC67ED"/>
    <w:rsid w:val="00FC6952"/>
    <w:rsid w:val="00FC6CC7"/>
    <w:rsid w:val="00FC6D57"/>
    <w:rsid w:val="00FC70E6"/>
    <w:rsid w:val="00FC7619"/>
    <w:rsid w:val="00FC7ABA"/>
    <w:rsid w:val="00FC7ABE"/>
    <w:rsid w:val="00FC7ACD"/>
    <w:rsid w:val="00FC7CE6"/>
    <w:rsid w:val="00FC7DB2"/>
    <w:rsid w:val="00FC7E04"/>
    <w:rsid w:val="00FC7FB2"/>
    <w:rsid w:val="00FD0105"/>
    <w:rsid w:val="00FD01DA"/>
    <w:rsid w:val="00FD03FA"/>
    <w:rsid w:val="00FD066B"/>
    <w:rsid w:val="00FD0752"/>
    <w:rsid w:val="00FD09D6"/>
    <w:rsid w:val="00FD0BA8"/>
    <w:rsid w:val="00FD0D62"/>
    <w:rsid w:val="00FD1102"/>
    <w:rsid w:val="00FD11D3"/>
    <w:rsid w:val="00FD1236"/>
    <w:rsid w:val="00FD1285"/>
    <w:rsid w:val="00FD1AF1"/>
    <w:rsid w:val="00FD1B51"/>
    <w:rsid w:val="00FD1F00"/>
    <w:rsid w:val="00FD1F59"/>
    <w:rsid w:val="00FD1F97"/>
    <w:rsid w:val="00FD1FAA"/>
    <w:rsid w:val="00FD2319"/>
    <w:rsid w:val="00FD25EA"/>
    <w:rsid w:val="00FD2799"/>
    <w:rsid w:val="00FD28B4"/>
    <w:rsid w:val="00FD28BE"/>
    <w:rsid w:val="00FD2A85"/>
    <w:rsid w:val="00FD2EF1"/>
    <w:rsid w:val="00FD2F1A"/>
    <w:rsid w:val="00FD31C7"/>
    <w:rsid w:val="00FD3244"/>
    <w:rsid w:val="00FD32EB"/>
    <w:rsid w:val="00FD3461"/>
    <w:rsid w:val="00FD3653"/>
    <w:rsid w:val="00FD3685"/>
    <w:rsid w:val="00FD3AE8"/>
    <w:rsid w:val="00FD3B0C"/>
    <w:rsid w:val="00FD3DEB"/>
    <w:rsid w:val="00FD4180"/>
    <w:rsid w:val="00FD418E"/>
    <w:rsid w:val="00FD41A3"/>
    <w:rsid w:val="00FD41F9"/>
    <w:rsid w:val="00FD46A2"/>
    <w:rsid w:val="00FD4C0D"/>
    <w:rsid w:val="00FD4C1D"/>
    <w:rsid w:val="00FD4D30"/>
    <w:rsid w:val="00FD4EA3"/>
    <w:rsid w:val="00FD52BA"/>
    <w:rsid w:val="00FD53A3"/>
    <w:rsid w:val="00FD584B"/>
    <w:rsid w:val="00FD5A49"/>
    <w:rsid w:val="00FD5A6C"/>
    <w:rsid w:val="00FD5CCA"/>
    <w:rsid w:val="00FD5FBB"/>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ECD"/>
    <w:rsid w:val="00FE0F2C"/>
    <w:rsid w:val="00FE0F43"/>
    <w:rsid w:val="00FE15FA"/>
    <w:rsid w:val="00FE16A0"/>
    <w:rsid w:val="00FE174A"/>
    <w:rsid w:val="00FE197B"/>
    <w:rsid w:val="00FE1A76"/>
    <w:rsid w:val="00FE1B1D"/>
    <w:rsid w:val="00FE1C38"/>
    <w:rsid w:val="00FE1ED6"/>
    <w:rsid w:val="00FE20FB"/>
    <w:rsid w:val="00FE224B"/>
    <w:rsid w:val="00FE2799"/>
    <w:rsid w:val="00FE2EDF"/>
    <w:rsid w:val="00FE37CA"/>
    <w:rsid w:val="00FE3DBC"/>
    <w:rsid w:val="00FE42C4"/>
    <w:rsid w:val="00FE42DE"/>
    <w:rsid w:val="00FE436D"/>
    <w:rsid w:val="00FE438C"/>
    <w:rsid w:val="00FE47C7"/>
    <w:rsid w:val="00FE4872"/>
    <w:rsid w:val="00FE49B8"/>
    <w:rsid w:val="00FE4D18"/>
    <w:rsid w:val="00FE4D93"/>
    <w:rsid w:val="00FE519A"/>
    <w:rsid w:val="00FE5301"/>
    <w:rsid w:val="00FE536E"/>
    <w:rsid w:val="00FE53C6"/>
    <w:rsid w:val="00FE5572"/>
    <w:rsid w:val="00FE55CC"/>
    <w:rsid w:val="00FE55FE"/>
    <w:rsid w:val="00FE57AF"/>
    <w:rsid w:val="00FE5D86"/>
    <w:rsid w:val="00FE6426"/>
    <w:rsid w:val="00FE642B"/>
    <w:rsid w:val="00FE6599"/>
    <w:rsid w:val="00FE6A17"/>
    <w:rsid w:val="00FE6F07"/>
    <w:rsid w:val="00FE7792"/>
    <w:rsid w:val="00FE77BA"/>
    <w:rsid w:val="00FE788C"/>
    <w:rsid w:val="00FE7A7B"/>
    <w:rsid w:val="00FE7D17"/>
    <w:rsid w:val="00FE7D6C"/>
    <w:rsid w:val="00FE7D91"/>
    <w:rsid w:val="00FE7F2A"/>
    <w:rsid w:val="00FF013A"/>
    <w:rsid w:val="00FF044C"/>
    <w:rsid w:val="00FF0454"/>
    <w:rsid w:val="00FF0704"/>
    <w:rsid w:val="00FF070A"/>
    <w:rsid w:val="00FF078F"/>
    <w:rsid w:val="00FF0990"/>
    <w:rsid w:val="00FF1023"/>
    <w:rsid w:val="00FF1068"/>
    <w:rsid w:val="00FF11A3"/>
    <w:rsid w:val="00FF126C"/>
    <w:rsid w:val="00FF12E7"/>
    <w:rsid w:val="00FF16B5"/>
    <w:rsid w:val="00FF1984"/>
    <w:rsid w:val="00FF1B40"/>
    <w:rsid w:val="00FF1DA3"/>
    <w:rsid w:val="00FF1FFD"/>
    <w:rsid w:val="00FF25DF"/>
    <w:rsid w:val="00FF271D"/>
    <w:rsid w:val="00FF27B7"/>
    <w:rsid w:val="00FF2CFC"/>
    <w:rsid w:val="00FF30B7"/>
    <w:rsid w:val="00FF31A4"/>
    <w:rsid w:val="00FF32AE"/>
    <w:rsid w:val="00FF341B"/>
    <w:rsid w:val="00FF34E5"/>
    <w:rsid w:val="00FF3515"/>
    <w:rsid w:val="00FF354E"/>
    <w:rsid w:val="00FF359B"/>
    <w:rsid w:val="00FF3679"/>
    <w:rsid w:val="00FF36B4"/>
    <w:rsid w:val="00FF3A7C"/>
    <w:rsid w:val="00FF3B89"/>
    <w:rsid w:val="00FF3C45"/>
    <w:rsid w:val="00FF3DAD"/>
    <w:rsid w:val="00FF3F40"/>
    <w:rsid w:val="00FF42BC"/>
    <w:rsid w:val="00FF44F0"/>
    <w:rsid w:val="00FF4515"/>
    <w:rsid w:val="00FF5516"/>
    <w:rsid w:val="00FF5A4B"/>
    <w:rsid w:val="00FF5AE0"/>
    <w:rsid w:val="00FF5B09"/>
    <w:rsid w:val="00FF5CC6"/>
    <w:rsid w:val="00FF5D9D"/>
    <w:rsid w:val="00FF5DDB"/>
    <w:rsid w:val="00FF5E67"/>
    <w:rsid w:val="00FF60BC"/>
    <w:rsid w:val="00FF64D9"/>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662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
    <w:link w:val="Caption"/>
    <w:rsid w:val="00F8641A"/>
    <w:rPr>
      <w:rFonts w:eastAsia="Times New Roman"/>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C3E3206C-7187-4BCF-94E8-7039D71A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CBB6A04C-9CBA-49C0-B91D-0534E18A8C38}">
  <ds:schemaRefs>
    <ds:schemaRef ds:uri="http://schemas.microsoft.com/sharepoint/v3/contenttype/forms"/>
  </ds:schemaRefs>
</ds:datastoreItem>
</file>

<file path=customXml/itemProps4.xml><?xml version="1.0" encoding="utf-8"?>
<ds:datastoreItem xmlns:ds="http://schemas.openxmlformats.org/officeDocument/2006/customXml" ds:itemID="{2D2335CE-482F-45CB-BBC3-086B06E5E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5475</Words>
  <Characters>31209</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3GPP TSG-RAN WG1</vt:lpstr>
    </vt:vector>
  </TitlesOfParts>
  <Company>MediaTek Inc.</Company>
  <LinksUpToDate>false</LinksUpToDate>
  <CharactersWithSpaces>36611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MediaTek Inc.</dc:creator>
  <cp:keywords/>
  <cp:lastModifiedBy>CW Tsai (蔡秋薇)</cp:lastModifiedBy>
  <cp:revision>5</cp:revision>
  <cp:lastPrinted>2017-10-02T09:51:00Z</cp:lastPrinted>
  <dcterms:created xsi:type="dcterms:W3CDTF">2019-10-08T02:21:00Z</dcterms:created>
  <dcterms:modified xsi:type="dcterms:W3CDTF">2019-10-08T02:29:00Z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ies>
</file>